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348657B">
      <w:pPr>
        <w:spacing w:before="0" w:after="0"/>
        <w:jc w:val="center"/>
        <w:rPr>
          <w:sz w:val="32"/>
          <w:szCs w:val="32"/>
        </w:rPr>
      </w:pPr>
      <w:r>
        <w:rPr>
          <w:rFonts w:hint="eastAsia" w:ascii="宋体" w:hAnsi="宋体" w:eastAsia="宋体" w:cs="宋体"/>
          <w:b/>
          <w:bCs/>
          <w:sz w:val="32"/>
          <w:szCs w:val="32"/>
          <w:lang w:val="en-US" w:eastAsia="zh-CN"/>
        </w:rPr>
        <w:t>南京国家粮食交易中心玉米分中心</w:t>
      </w:r>
      <w:r>
        <w:rPr>
          <w:rFonts w:ascii="宋体" w:hAnsi="宋体" w:eastAsia="宋体" w:cs="宋体"/>
          <w:b/>
          <w:bCs/>
          <w:sz w:val="32"/>
          <w:szCs w:val="32"/>
        </w:rPr>
        <w:t>竞价采购合同</w:t>
      </w:r>
    </w:p>
    <w:p w14:paraId="24D1FBA7">
      <w:pPr>
        <w:rPr>
          <w:rFonts w:hint="eastAsia" w:ascii="楷体" w:hAnsi="楷体" w:eastAsia="楷体" w:cs="楷体"/>
          <w:sz w:val="36"/>
          <w:szCs w:val="36"/>
        </w:rPr>
      </w:pPr>
      <w:r>
        <w:rPr>
          <w:rFonts w:hint="eastAsia" w:ascii="楷体" w:hAnsi="楷体" w:eastAsia="楷体" w:cs="楷体"/>
          <w:sz w:val="36"/>
          <w:szCs w:val="36"/>
        </w:rPr>
        <w:t>甲方（卖方）：</w:t>
      </w:r>
    </w:p>
    <w:p w14:paraId="5F66D937">
      <w:pPr>
        <w:rPr>
          <w:rFonts w:hint="eastAsia" w:ascii="楷体" w:hAnsi="楷体" w:eastAsia="楷体" w:cs="楷体"/>
          <w:sz w:val="36"/>
          <w:szCs w:val="36"/>
        </w:rPr>
      </w:pPr>
      <w:r>
        <w:rPr>
          <w:rFonts w:hint="eastAsia" w:ascii="楷体" w:hAnsi="楷体" w:eastAsia="楷体" w:cs="楷体"/>
          <w:sz w:val="36"/>
          <w:szCs w:val="36"/>
        </w:rPr>
        <w:t>乙方（买方）：国投生物能源（铁岭）有限公司</w:t>
      </w:r>
    </w:p>
    <w:p w14:paraId="1F215115">
      <w:pPr>
        <w:rPr>
          <w:rFonts w:hint="eastAsia" w:ascii="楷体" w:hAnsi="楷体" w:eastAsia="楷体" w:cs="楷体"/>
          <w:sz w:val="36"/>
          <w:szCs w:val="36"/>
        </w:rPr>
      </w:pPr>
    </w:p>
    <w:p w14:paraId="6E18CCC9">
      <w:pPr>
        <w:ind w:firstLine="1800" w:firstLineChars="500"/>
        <w:rPr>
          <w:rFonts w:hint="eastAsia" w:ascii="楷体" w:hAnsi="楷体" w:eastAsia="楷体" w:cs="楷体"/>
          <w:sz w:val="36"/>
          <w:szCs w:val="36"/>
        </w:rPr>
      </w:pPr>
      <w:r>
        <w:rPr>
          <w:rFonts w:hint="eastAsia" w:ascii="楷体" w:hAnsi="楷体" w:eastAsia="楷体" w:cs="楷体"/>
          <w:sz w:val="36"/>
          <w:szCs w:val="36"/>
        </w:rPr>
        <w:t>合同编号：</w:t>
      </w:r>
    </w:p>
    <w:p w14:paraId="7DCBABDB">
      <w:pPr>
        <w:rPr>
          <w:rFonts w:hint="eastAsia" w:ascii="楷体" w:hAnsi="楷体" w:eastAsia="楷体" w:cs="楷体"/>
          <w:sz w:val="36"/>
          <w:szCs w:val="36"/>
        </w:rPr>
      </w:pPr>
      <w:r>
        <w:rPr>
          <w:rFonts w:hint="eastAsia" w:ascii="楷体" w:hAnsi="楷体" w:eastAsia="楷体" w:cs="楷体"/>
          <w:sz w:val="36"/>
          <w:szCs w:val="36"/>
        </w:rPr>
        <w:t>签订地点：</w:t>
      </w:r>
    </w:p>
    <w:p w14:paraId="7CDE6E62">
      <w:pPr>
        <w:spacing w:before="0" w:after="0" w:line="360" w:lineRule="auto"/>
        <w:jc w:val="left"/>
        <w:rPr>
          <w:sz w:val="32"/>
          <w:szCs w:val="32"/>
        </w:rPr>
      </w:pPr>
      <w:r>
        <w:rPr>
          <w:rFonts w:ascii="楷体" w:hAnsi="楷体" w:eastAsia="楷体" w:cs="楷体"/>
          <w:sz w:val="32"/>
          <w:szCs w:val="32"/>
        </w:rPr>
        <w:t>丙方（资金保管方）：</w:t>
      </w:r>
    </w:p>
    <w:p w14:paraId="555CB37F">
      <w:pPr>
        <w:numPr>
          <w:ilvl w:val="0"/>
          <w:numId w:val="1"/>
        </w:numPr>
        <w:tabs>
          <w:tab w:val="left" w:pos="1125"/>
        </w:tabs>
        <w:spacing w:before="0" w:after="0"/>
        <w:ind w:left="0" w:firstLine="0"/>
        <w:rPr>
          <w:sz w:val="32"/>
          <w:szCs w:val="32"/>
        </w:rPr>
      </w:pPr>
      <w:r>
        <w:rPr>
          <w:rFonts w:ascii="楷体" w:hAnsi="楷体" w:eastAsia="楷体" w:cs="楷体"/>
          <w:b/>
          <w:bCs/>
          <w:sz w:val="32"/>
          <w:szCs w:val="32"/>
        </w:rPr>
        <w:t>标的号、品种、数量、单价、价款：</w:t>
      </w:r>
    </w:p>
    <w:tbl>
      <w:tblPr>
        <w:tblStyle w:val="8"/>
        <w:tblW w:w="9202"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800"/>
        <w:gridCol w:w="1762"/>
        <w:gridCol w:w="1772"/>
        <w:gridCol w:w="1821"/>
        <w:gridCol w:w="2047"/>
      </w:tblGrid>
      <w:tr w14:paraId="6A877E4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7" w:hRule="atLeast"/>
        </w:trPr>
        <w:tc>
          <w:tcPr>
            <w:tcW w:w="1800" w:type="dxa"/>
            <w:tcBorders>
              <w:bottom w:val="single" w:color="000000" w:sz="4" w:space="0"/>
              <w:right w:val="single" w:color="000000" w:sz="4" w:space="0"/>
            </w:tcBorders>
            <w:tcMar>
              <w:top w:w="0" w:type="dxa"/>
              <w:left w:w="108" w:type="dxa"/>
              <w:bottom w:w="0" w:type="dxa"/>
              <w:right w:w="108" w:type="dxa"/>
            </w:tcMar>
            <w:vAlign w:val="top"/>
          </w:tcPr>
          <w:p w14:paraId="66910DEC">
            <w:pPr>
              <w:spacing w:before="0" w:after="0"/>
              <w:jc w:val="center"/>
              <w:rPr>
                <w:b w:val="0"/>
                <w:bCs w:val="0"/>
                <w:i w:val="0"/>
                <w:iCs w:val="0"/>
                <w:smallCaps w:val="0"/>
                <w:color w:val="000000"/>
                <w:sz w:val="24"/>
                <w:szCs w:val="24"/>
              </w:rPr>
            </w:pPr>
            <w:r>
              <w:rPr>
                <w:rFonts w:ascii="楷体" w:hAnsi="楷体" w:eastAsia="楷体" w:cs="楷体"/>
                <w:b/>
                <w:bCs/>
                <w:i w:val="0"/>
                <w:iCs w:val="0"/>
                <w:smallCaps w:val="0"/>
                <w:color w:val="000000"/>
                <w:sz w:val="24"/>
                <w:szCs w:val="24"/>
              </w:rPr>
              <w:t>标的号</w:t>
            </w:r>
          </w:p>
        </w:tc>
        <w:tc>
          <w:tcPr>
            <w:tcW w:w="1762" w:type="dxa"/>
            <w:tcBorders>
              <w:left w:val="single" w:color="000000" w:sz="4" w:space="0"/>
              <w:bottom w:val="single" w:color="000000" w:sz="4" w:space="0"/>
              <w:right w:val="single" w:color="000000" w:sz="4" w:space="0"/>
            </w:tcBorders>
            <w:tcMar>
              <w:top w:w="0" w:type="dxa"/>
              <w:left w:w="108" w:type="dxa"/>
              <w:bottom w:w="0" w:type="dxa"/>
              <w:right w:w="108" w:type="dxa"/>
            </w:tcMar>
            <w:vAlign w:val="top"/>
          </w:tcPr>
          <w:p w14:paraId="0CD0E364">
            <w:pPr>
              <w:spacing w:before="0" w:after="0"/>
              <w:jc w:val="center"/>
              <w:rPr>
                <w:b w:val="0"/>
                <w:bCs w:val="0"/>
                <w:i w:val="0"/>
                <w:iCs w:val="0"/>
                <w:smallCaps w:val="0"/>
                <w:color w:val="000000"/>
                <w:sz w:val="24"/>
                <w:szCs w:val="24"/>
              </w:rPr>
            </w:pPr>
            <w:r>
              <w:rPr>
                <w:rFonts w:ascii="楷体" w:hAnsi="楷体" w:eastAsia="楷体" w:cs="楷体"/>
                <w:b/>
                <w:bCs/>
                <w:i w:val="0"/>
                <w:iCs w:val="0"/>
                <w:smallCaps w:val="0"/>
                <w:color w:val="000000"/>
                <w:sz w:val="24"/>
                <w:szCs w:val="24"/>
              </w:rPr>
              <w:t>品种</w:t>
            </w:r>
          </w:p>
        </w:tc>
        <w:tc>
          <w:tcPr>
            <w:tcW w:w="1772" w:type="dxa"/>
            <w:tcBorders>
              <w:left w:val="single" w:color="000000" w:sz="4" w:space="0"/>
              <w:bottom w:val="single" w:color="000000" w:sz="4" w:space="0"/>
              <w:right w:val="single" w:color="000000" w:sz="4" w:space="0"/>
            </w:tcBorders>
            <w:tcMar>
              <w:top w:w="0" w:type="dxa"/>
              <w:left w:w="108" w:type="dxa"/>
              <w:bottom w:w="0" w:type="dxa"/>
              <w:right w:w="108" w:type="dxa"/>
            </w:tcMar>
            <w:vAlign w:val="top"/>
          </w:tcPr>
          <w:p w14:paraId="17502EA5">
            <w:pPr>
              <w:spacing w:before="0" w:after="0"/>
              <w:jc w:val="center"/>
              <w:rPr>
                <w:b w:val="0"/>
                <w:bCs w:val="0"/>
                <w:i w:val="0"/>
                <w:iCs w:val="0"/>
                <w:smallCaps w:val="0"/>
                <w:color w:val="000000"/>
                <w:sz w:val="24"/>
                <w:szCs w:val="24"/>
              </w:rPr>
            </w:pPr>
            <w:r>
              <w:rPr>
                <w:rFonts w:ascii="楷体" w:hAnsi="楷体" w:eastAsia="楷体" w:cs="楷体"/>
                <w:b/>
                <w:bCs/>
                <w:i w:val="0"/>
                <w:iCs w:val="0"/>
                <w:smallCaps w:val="0"/>
                <w:color w:val="000000"/>
                <w:sz w:val="24"/>
                <w:szCs w:val="24"/>
              </w:rPr>
              <w:t>数量（吨）</w:t>
            </w:r>
          </w:p>
        </w:tc>
        <w:tc>
          <w:tcPr>
            <w:tcW w:w="1821" w:type="dxa"/>
            <w:tcBorders>
              <w:left w:val="single" w:color="000000" w:sz="4" w:space="0"/>
              <w:bottom w:val="single" w:color="000000" w:sz="4" w:space="0"/>
              <w:right w:val="single" w:color="000000" w:sz="4" w:space="0"/>
            </w:tcBorders>
            <w:tcMar>
              <w:top w:w="0" w:type="dxa"/>
              <w:left w:w="108" w:type="dxa"/>
              <w:bottom w:w="0" w:type="dxa"/>
              <w:right w:w="108" w:type="dxa"/>
            </w:tcMar>
            <w:vAlign w:val="top"/>
          </w:tcPr>
          <w:p w14:paraId="46F87650">
            <w:pPr>
              <w:spacing w:before="0" w:after="0"/>
              <w:jc w:val="center"/>
              <w:rPr>
                <w:b w:val="0"/>
                <w:bCs w:val="0"/>
                <w:i w:val="0"/>
                <w:iCs w:val="0"/>
                <w:smallCaps w:val="0"/>
                <w:color w:val="000000"/>
                <w:sz w:val="24"/>
                <w:szCs w:val="24"/>
              </w:rPr>
            </w:pPr>
            <w:r>
              <w:rPr>
                <w:rFonts w:ascii="楷体" w:hAnsi="楷体" w:eastAsia="楷体" w:cs="楷体"/>
                <w:b/>
                <w:bCs/>
                <w:i w:val="0"/>
                <w:iCs w:val="0"/>
                <w:smallCaps w:val="0"/>
                <w:color w:val="000000"/>
                <w:sz w:val="24"/>
                <w:szCs w:val="24"/>
              </w:rPr>
              <w:t>单价（元/吨）</w:t>
            </w:r>
          </w:p>
        </w:tc>
        <w:tc>
          <w:tcPr>
            <w:tcW w:w="2047" w:type="dxa"/>
            <w:tcBorders>
              <w:left w:val="single" w:color="000000" w:sz="4" w:space="0"/>
              <w:bottom w:val="single" w:color="000000" w:sz="4" w:space="0"/>
            </w:tcBorders>
            <w:tcMar>
              <w:top w:w="0" w:type="dxa"/>
              <w:left w:w="108" w:type="dxa"/>
              <w:bottom w:w="0" w:type="dxa"/>
              <w:right w:w="108" w:type="dxa"/>
            </w:tcMar>
            <w:vAlign w:val="top"/>
          </w:tcPr>
          <w:p w14:paraId="12EE3022">
            <w:pPr>
              <w:spacing w:before="0" w:after="0"/>
              <w:jc w:val="center"/>
              <w:rPr>
                <w:b w:val="0"/>
                <w:bCs w:val="0"/>
                <w:i w:val="0"/>
                <w:iCs w:val="0"/>
                <w:smallCaps w:val="0"/>
                <w:color w:val="000000"/>
                <w:sz w:val="24"/>
                <w:szCs w:val="24"/>
              </w:rPr>
            </w:pPr>
            <w:r>
              <w:rPr>
                <w:rFonts w:ascii="楷体" w:hAnsi="楷体" w:eastAsia="楷体" w:cs="楷体"/>
                <w:b/>
                <w:bCs/>
                <w:i w:val="0"/>
                <w:iCs w:val="0"/>
                <w:smallCaps w:val="0"/>
                <w:color w:val="000000"/>
                <w:sz w:val="24"/>
                <w:szCs w:val="24"/>
              </w:rPr>
              <w:t>价款（元）</w:t>
            </w:r>
          </w:p>
        </w:tc>
      </w:tr>
      <w:tr w14:paraId="4EE8E54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3" w:hRule="atLeast"/>
        </w:trPr>
        <w:tc>
          <w:tcPr>
            <w:tcW w:w="1800" w:type="dxa"/>
            <w:tcBorders>
              <w:top w:val="single" w:color="000000" w:sz="4" w:space="0"/>
              <w:bottom w:val="single" w:color="000000" w:sz="4" w:space="0"/>
              <w:right w:val="single" w:color="000000" w:sz="4" w:space="0"/>
            </w:tcBorders>
            <w:tcMar>
              <w:top w:w="0" w:type="dxa"/>
              <w:left w:w="108" w:type="dxa"/>
              <w:bottom w:w="0" w:type="dxa"/>
              <w:right w:w="108" w:type="dxa"/>
            </w:tcMar>
            <w:vAlign w:val="top"/>
          </w:tcPr>
          <w:p w14:paraId="29EC9711">
            <w:pPr>
              <w:spacing w:before="0" w:after="0"/>
              <w:ind w:firstLine="640"/>
              <w:rPr>
                <w:rFonts w:ascii="楷体" w:hAnsi="楷体" w:eastAsia="楷体" w:cs="楷体"/>
                <w:b/>
                <w:bCs/>
                <w:i w:val="0"/>
                <w:iCs w:val="0"/>
                <w:smallCaps w:val="0"/>
                <w:color w:val="000000"/>
                <w:sz w:val="32"/>
                <w:szCs w:val="32"/>
              </w:rPr>
            </w:pPr>
          </w:p>
        </w:tc>
        <w:tc>
          <w:tcPr>
            <w:tcW w:w="1762"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top"/>
          </w:tcPr>
          <w:p w14:paraId="31C7616A">
            <w:pPr>
              <w:spacing w:before="0" w:after="0"/>
              <w:ind w:firstLine="320"/>
              <w:rPr>
                <w:rFonts w:ascii="楷体" w:hAnsi="楷体" w:eastAsia="楷体" w:cs="楷体"/>
                <w:b/>
                <w:bCs/>
                <w:i w:val="0"/>
                <w:iCs w:val="0"/>
                <w:smallCaps w:val="0"/>
                <w:color w:val="000000"/>
                <w:sz w:val="32"/>
                <w:szCs w:val="32"/>
              </w:rPr>
            </w:pPr>
          </w:p>
        </w:tc>
        <w:tc>
          <w:tcPr>
            <w:tcW w:w="1772"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top"/>
          </w:tcPr>
          <w:p w14:paraId="6B635EF5">
            <w:pPr>
              <w:spacing w:before="0" w:after="0"/>
              <w:ind w:firstLine="640"/>
              <w:rPr>
                <w:rFonts w:ascii="楷体" w:hAnsi="楷体" w:eastAsia="楷体" w:cs="楷体"/>
                <w:b/>
                <w:bCs/>
                <w:i w:val="0"/>
                <w:iCs w:val="0"/>
                <w:smallCaps w:val="0"/>
                <w:color w:val="000000"/>
                <w:sz w:val="32"/>
                <w:szCs w:val="32"/>
              </w:rPr>
            </w:pPr>
          </w:p>
        </w:tc>
        <w:tc>
          <w:tcPr>
            <w:tcW w:w="1821"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top"/>
          </w:tcPr>
          <w:p w14:paraId="6F5AA4E3">
            <w:pPr>
              <w:spacing w:before="0" w:after="0"/>
              <w:ind w:firstLine="640"/>
              <w:rPr>
                <w:rFonts w:ascii="楷体" w:hAnsi="楷体" w:eastAsia="楷体" w:cs="楷体"/>
                <w:b/>
                <w:bCs/>
                <w:i w:val="0"/>
                <w:iCs w:val="0"/>
                <w:smallCaps w:val="0"/>
                <w:color w:val="000000"/>
                <w:sz w:val="32"/>
                <w:szCs w:val="32"/>
              </w:rPr>
            </w:pPr>
          </w:p>
        </w:tc>
        <w:tc>
          <w:tcPr>
            <w:tcW w:w="2047" w:type="dxa"/>
            <w:tcBorders>
              <w:top w:val="single" w:color="000000" w:sz="4" w:space="0"/>
              <w:left w:val="single" w:color="000000" w:sz="4" w:space="0"/>
              <w:bottom w:val="single" w:color="000000" w:sz="4" w:space="0"/>
            </w:tcBorders>
            <w:tcMar>
              <w:top w:w="0" w:type="dxa"/>
              <w:left w:w="108" w:type="dxa"/>
              <w:bottom w:w="0" w:type="dxa"/>
              <w:right w:w="108" w:type="dxa"/>
            </w:tcMar>
            <w:vAlign w:val="top"/>
          </w:tcPr>
          <w:p w14:paraId="61F6506A">
            <w:pPr>
              <w:spacing w:before="0" w:after="0"/>
              <w:ind w:firstLine="640"/>
              <w:rPr>
                <w:rFonts w:ascii="楷体" w:hAnsi="楷体" w:eastAsia="楷体" w:cs="楷体"/>
                <w:b/>
                <w:bCs/>
                <w:i w:val="0"/>
                <w:iCs w:val="0"/>
                <w:smallCaps w:val="0"/>
                <w:color w:val="000000"/>
                <w:sz w:val="32"/>
                <w:szCs w:val="32"/>
              </w:rPr>
            </w:pPr>
          </w:p>
        </w:tc>
      </w:tr>
      <w:tr w14:paraId="2327AD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3" w:hRule="atLeast"/>
        </w:trPr>
        <w:tc>
          <w:tcPr>
            <w:tcW w:w="1800" w:type="dxa"/>
            <w:tcBorders>
              <w:top w:val="single" w:color="000000" w:sz="4" w:space="0"/>
              <w:bottom w:val="single" w:color="000000" w:sz="4" w:space="0"/>
              <w:right w:val="single" w:color="000000" w:sz="4" w:space="0"/>
            </w:tcBorders>
            <w:tcMar>
              <w:top w:w="0" w:type="dxa"/>
              <w:left w:w="108" w:type="dxa"/>
              <w:bottom w:w="0" w:type="dxa"/>
              <w:right w:w="108" w:type="dxa"/>
            </w:tcMar>
            <w:vAlign w:val="top"/>
          </w:tcPr>
          <w:p w14:paraId="570210F5">
            <w:pPr>
              <w:spacing w:before="0" w:after="0"/>
              <w:ind w:firstLine="640"/>
              <w:rPr>
                <w:rFonts w:ascii="楷体" w:hAnsi="楷体" w:eastAsia="楷体" w:cs="楷体"/>
                <w:b/>
                <w:bCs/>
                <w:i w:val="0"/>
                <w:iCs w:val="0"/>
                <w:smallCaps w:val="0"/>
                <w:color w:val="000000"/>
                <w:sz w:val="32"/>
                <w:szCs w:val="32"/>
              </w:rPr>
            </w:pPr>
          </w:p>
        </w:tc>
        <w:tc>
          <w:tcPr>
            <w:tcW w:w="1762"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top"/>
          </w:tcPr>
          <w:p w14:paraId="05C8306D">
            <w:pPr>
              <w:spacing w:before="0" w:after="0"/>
              <w:ind w:firstLine="320"/>
              <w:rPr>
                <w:rFonts w:ascii="楷体" w:hAnsi="楷体" w:eastAsia="楷体" w:cs="楷体"/>
                <w:b/>
                <w:bCs/>
                <w:i w:val="0"/>
                <w:iCs w:val="0"/>
                <w:smallCaps w:val="0"/>
                <w:color w:val="000000"/>
                <w:sz w:val="32"/>
                <w:szCs w:val="32"/>
              </w:rPr>
            </w:pPr>
          </w:p>
        </w:tc>
        <w:tc>
          <w:tcPr>
            <w:tcW w:w="1772"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top"/>
          </w:tcPr>
          <w:p w14:paraId="25E7A871">
            <w:pPr>
              <w:spacing w:before="0" w:after="0"/>
              <w:ind w:firstLine="640"/>
              <w:rPr>
                <w:rFonts w:ascii="楷体" w:hAnsi="楷体" w:eastAsia="楷体" w:cs="楷体"/>
                <w:b/>
                <w:bCs/>
                <w:i w:val="0"/>
                <w:iCs w:val="0"/>
                <w:smallCaps w:val="0"/>
                <w:color w:val="000000"/>
                <w:sz w:val="32"/>
                <w:szCs w:val="32"/>
              </w:rPr>
            </w:pPr>
          </w:p>
        </w:tc>
        <w:tc>
          <w:tcPr>
            <w:tcW w:w="1821"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top"/>
          </w:tcPr>
          <w:p w14:paraId="3B22C778">
            <w:pPr>
              <w:spacing w:before="0" w:after="0"/>
              <w:ind w:firstLine="640"/>
              <w:rPr>
                <w:rFonts w:ascii="楷体" w:hAnsi="楷体" w:eastAsia="楷体" w:cs="楷体"/>
                <w:b/>
                <w:bCs/>
                <w:i w:val="0"/>
                <w:iCs w:val="0"/>
                <w:smallCaps w:val="0"/>
                <w:color w:val="000000"/>
                <w:sz w:val="32"/>
                <w:szCs w:val="32"/>
              </w:rPr>
            </w:pPr>
          </w:p>
        </w:tc>
        <w:tc>
          <w:tcPr>
            <w:tcW w:w="2047" w:type="dxa"/>
            <w:tcBorders>
              <w:top w:val="single" w:color="000000" w:sz="4" w:space="0"/>
              <w:left w:val="single" w:color="000000" w:sz="4" w:space="0"/>
              <w:bottom w:val="single" w:color="000000" w:sz="4" w:space="0"/>
            </w:tcBorders>
            <w:tcMar>
              <w:top w:w="0" w:type="dxa"/>
              <w:left w:w="108" w:type="dxa"/>
              <w:bottom w:w="0" w:type="dxa"/>
              <w:right w:w="108" w:type="dxa"/>
            </w:tcMar>
            <w:vAlign w:val="top"/>
          </w:tcPr>
          <w:p w14:paraId="42B1F419">
            <w:pPr>
              <w:spacing w:before="0" w:after="0"/>
              <w:ind w:firstLine="640"/>
              <w:rPr>
                <w:rFonts w:ascii="楷体" w:hAnsi="楷体" w:eastAsia="楷体" w:cs="楷体"/>
                <w:b/>
                <w:bCs/>
                <w:i w:val="0"/>
                <w:iCs w:val="0"/>
                <w:smallCaps w:val="0"/>
                <w:color w:val="000000"/>
                <w:sz w:val="32"/>
                <w:szCs w:val="32"/>
              </w:rPr>
            </w:pPr>
          </w:p>
        </w:tc>
      </w:tr>
      <w:tr w14:paraId="578B4F4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3" w:hRule="atLeast"/>
        </w:trPr>
        <w:tc>
          <w:tcPr>
            <w:tcW w:w="1800" w:type="dxa"/>
            <w:tcBorders>
              <w:top w:val="single" w:color="000000" w:sz="4" w:space="0"/>
              <w:bottom w:val="single" w:color="000000" w:sz="4" w:space="0"/>
              <w:right w:val="single" w:color="000000" w:sz="4" w:space="0"/>
            </w:tcBorders>
            <w:tcMar>
              <w:top w:w="0" w:type="dxa"/>
              <w:left w:w="108" w:type="dxa"/>
              <w:bottom w:w="0" w:type="dxa"/>
              <w:right w:w="108" w:type="dxa"/>
            </w:tcMar>
            <w:vAlign w:val="top"/>
          </w:tcPr>
          <w:p w14:paraId="5EE5B51C">
            <w:pPr>
              <w:spacing w:before="0" w:after="0"/>
              <w:ind w:firstLine="640"/>
              <w:rPr>
                <w:rFonts w:ascii="楷体" w:hAnsi="楷体" w:eastAsia="楷体" w:cs="楷体"/>
                <w:b/>
                <w:bCs/>
                <w:i w:val="0"/>
                <w:iCs w:val="0"/>
                <w:smallCaps w:val="0"/>
                <w:color w:val="000000"/>
                <w:sz w:val="32"/>
                <w:szCs w:val="32"/>
              </w:rPr>
            </w:pPr>
          </w:p>
        </w:tc>
        <w:tc>
          <w:tcPr>
            <w:tcW w:w="1762"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top"/>
          </w:tcPr>
          <w:p w14:paraId="5B4E57FE">
            <w:pPr>
              <w:spacing w:before="0" w:after="0"/>
              <w:ind w:firstLine="320"/>
              <w:rPr>
                <w:rFonts w:ascii="楷体" w:hAnsi="楷体" w:eastAsia="楷体" w:cs="楷体"/>
                <w:b/>
                <w:bCs/>
                <w:i w:val="0"/>
                <w:iCs w:val="0"/>
                <w:smallCaps w:val="0"/>
                <w:color w:val="000000"/>
                <w:sz w:val="32"/>
                <w:szCs w:val="32"/>
              </w:rPr>
            </w:pPr>
          </w:p>
        </w:tc>
        <w:tc>
          <w:tcPr>
            <w:tcW w:w="1772"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top"/>
          </w:tcPr>
          <w:p w14:paraId="48AC84E2">
            <w:pPr>
              <w:spacing w:before="0" w:after="0"/>
              <w:ind w:firstLine="640"/>
              <w:rPr>
                <w:rFonts w:ascii="楷体" w:hAnsi="楷体" w:eastAsia="楷体" w:cs="楷体"/>
                <w:b/>
                <w:bCs/>
                <w:i w:val="0"/>
                <w:iCs w:val="0"/>
                <w:smallCaps w:val="0"/>
                <w:color w:val="000000"/>
                <w:sz w:val="32"/>
                <w:szCs w:val="32"/>
              </w:rPr>
            </w:pPr>
          </w:p>
        </w:tc>
        <w:tc>
          <w:tcPr>
            <w:tcW w:w="1821"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top"/>
          </w:tcPr>
          <w:p w14:paraId="204D046B">
            <w:pPr>
              <w:spacing w:before="0" w:after="0"/>
              <w:ind w:firstLine="640"/>
              <w:rPr>
                <w:rFonts w:ascii="楷体" w:hAnsi="楷体" w:eastAsia="楷体" w:cs="楷体"/>
                <w:b/>
                <w:bCs/>
                <w:i w:val="0"/>
                <w:iCs w:val="0"/>
                <w:smallCaps w:val="0"/>
                <w:color w:val="000000"/>
                <w:sz w:val="32"/>
                <w:szCs w:val="32"/>
              </w:rPr>
            </w:pPr>
          </w:p>
        </w:tc>
        <w:tc>
          <w:tcPr>
            <w:tcW w:w="2047" w:type="dxa"/>
            <w:tcBorders>
              <w:top w:val="single" w:color="000000" w:sz="4" w:space="0"/>
              <w:left w:val="single" w:color="000000" w:sz="4" w:space="0"/>
              <w:bottom w:val="single" w:color="000000" w:sz="4" w:space="0"/>
            </w:tcBorders>
            <w:tcMar>
              <w:top w:w="0" w:type="dxa"/>
              <w:left w:w="108" w:type="dxa"/>
              <w:bottom w:w="0" w:type="dxa"/>
              <w:right w:w="108" w:type="dxa"/>
            </w:tcMar>
            <w:vAlign w:val="top"/>
          </w:tcPr>
          <w:p w14:paraId="40C3DB96">
            <w:pPr>
              <w:spacing w:before="0" w:after="0"/>
              <w:ind w:firstLine="640"/>
              <w:rPr>
                <w:rFonts w:ascii="楷体" w:hAnsi="楷体" w:eastAsia="楷体" w:cs="楷体"/>
                <w:b/>
                <w:bCs/>
                <w:i w:val="0"/>
                <w:iCs w:val="0"/>
                <w:smallCaps w:val="0"/>
                <w:color w:val="000000"/>
                <w:sz w:val="32"/>
                <w:szCs w:val="32"/>
              </w:rPr>
            </w:pPr>
          </w:p>
        </w:tc>
      </w:tr>
      <w:tr w14:paraId="79AA03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c>
          <w:tcPr>
            <w:tcW w:w="9202" w:type="dxa"/>
            <w:gridSpan w:val="5"/>
            <w:tcBorders>
              <w:top w:val="single" w:color="000000" w:sz="4" w:space="0"/>
            </w:tcBorders>
            <w:tcMar>
              <w:top w:w="0" w:type="dxa"/>
              <w:left w:w="108" w:type="dxa"/>
              <w:bottom w:w="0" w:type="dxa"/>
              <w:right w:w="108" w:type="dxa"/>
            </w:tcMar>
            <w:vAlign w:val="top"/>
          </w:tcPr>
          <w:p w14:paraId="31BB6566">
            <w:pPr>
              <w:spacing w:before="0" w:after="0"/>
              <w:ind w:firstLine="440"/>
              <w:rPr>
                <w:rFonts w:hint="default" w:ascii="楷体" w:hAnsi="楷体" w:eastAsia="楷体" w:cs="楷体"/>
                <w:b/>
                <w:bCs/>
                <w:i w:val="0"/>
                <w:iCs w:val="0"/>
                <w:smallCaps w:val="0"/>
                <w:color w:val="000000"/>
                <w:sz w:val="22"/>
                <w:szCs w:val="22"/>
                <w:lang w:val="en-US" w:eastAsia="zh-CN"/>
              </w:rPr>
            </w:pPr>
            <w:r>
              <w:rPr>
                <w:rFonts w:hint="eastAsia" w:ascii="楷体" w:hAnsi="楷体" w:eastAsia="楷体" w:cs="楷体"/>
                <w:b/>
                <w:bCs/>
                <w:i w:val="0"/>
                <w:iCs w:val="0"/>
                <w:smallCaps w:val="0"/>
                <w:color w:val="000000"/>
                <w:sz w:val="22"/>
                <w:szCs w:val="22"/>
                <w:lang w:val="en-US" w:eastAsia="zh-CN"/>
              </w:rPr>
              <w:t>注：溢短量：±5%</w:t>
            </w:r>
          </w:p>
          <w:p w14:paraId="7B1523EF">
            <w:pPr>
              <w:spacing w:before="0" w:after="0"/>
              <w:ind w:firstLine="440"/>
              <w:rPr>
                <w:b w:val="0"/>
                <w:bCs w:val="0"/>
                <w:i w:val="0"/>
                <w:iCs w:val="0"/>
                <w:smallCaps w:val="0"/>
                <w:color w:val="000000"/>
                <w:sz w:val="22"/>
                <w:szCs w:val="22"/>
              </w:rPr>
            </w:pPr>
            <w:r>
              <w:rPr>
                <w:rFonts w:ascii="楷体" w:hAnsi="楷体" w:eastAsia="楷体" w:cs="楷体"/>
                <w:b/>
                <w:bCs/>
                <w:i w:val="0"/>
                <w:iCs w:val="0"/>
                <w:smallCaps w:val="0"/>
                <w:color w:val="000000"/>
                <w:sz w:val="22"/>
                <w:szCs w:val="22"/>
              </w:rPr>
              <w:t>合计人民币（大写金额）：</w:t>
            </w:r>
          </w:p>
        </w:tc>
      </w:tr>
    </w:tbl>
    <w:p w14:paraId="6AAE9931">
      <w:pPr>
        <w:numPr>
          <w:ilvl w:val="0"/>
          <w:numId w:val="1"/>
        </w:numPr>
        <w:tabs>
          <w:tab w:val="left" w:pos="1125"/>
        </w:tabs>
        <w:spacing w:before="0" w:after="0"/>
        <w:ind w:left="0" w:firstLine="0"/>
        <w:rPr>
          <w:sz w:val="32"/>
          <w:szCs w:val="32"/>
        </w:rPr>
      </w:pPr>
      <w:r>
        <w:rPr>
          <w:rFonts w:ascii="楷体" w:hAnsi="楷体" w:eastAsia="楷体" w:cs="楷体"/>
          <w:b/>
          <w:bCs/>
          <w:sz w:val="32"/>
          <w:szCs w:val="32"/>
        </w:rPr>
        <w:t>质量标准及折扣标准</w:t>
      </w:r>
    </w:p>
    <w:p w14:paraId="0FEB25B8">
      <w:pPr>
        <w:spacing w:before="0" w:after="0"/>
        <w:ind w:firstLine="640"/>
        <w:rPr>
          <w:sz w:val="32"/>
          <w:szCs w:val="32"/>
        </w:rPr>
      </w:pPr>
      <w:r>
        <w:rPr>
          <w:rFonts w:ascii="楷体" w:hAnsi="楷体" w:eastAsia="楷体" w:cs="楷体"/>
          <w:sz w:val="32"/>
          <w:szCs w:val="32"/>
        </w:rPr>
        <w:t>以乙方提供的竞价采购交易清单为准。</w:t>
      </w:r>
    </w:p>
    <w:p w14:paraId="0DD86805">
      <w:pPr>
        <w:numPr>
          <w:ilvl w:val="0"/>
          <w:numId w:val="1"/>
        </w:numPr>
        <w:tabs>
          <w:tab w:val="left" w:pos="1125"/>
        </w:tabs>
        <w:spacing w:before="0" w:after="0"/>
        <w:ind w:left="0" w:firstLine="0"/>
        <w:rPr>
          <w:sz w:val="32"/>
          <w:szCs w:val="32"/>
        </w:rPr>
      </w:pPr>
      <w:r>
        <w:rPr>
          <w:rFonts w:ascii="楷体" w:hAnsi="楷体" w:eastAsia="楷体" w:cs="楷体"/>
          <w:b/>
          <w:bCs/>
          <w:sz w:val="32"/>
          <w:szCs w:val="32"/>
        </w:rPr>
        <w:t>交收地点</w:t>
      </w:r>
    </w:p>
    <w:p w14:paraId="3BD519DC">
      <w:pPr>
        <w:spacing w:before="0" w:after="0"/>
        <w:ind w:firstLine="640"/>
        <w:rPr>
          <w:sz w:val="32"/>
          <w:szCs w:val="32"/>
        </w:rPr>
      </w:pPr>
      <w:r>
        <w:rPr>
          <w:rFonts w:ascii="楷体" w:hAnsi="楷体" w:eastAsia="楷体" w:cs="楷体"/>
          <w:sz w:val="32"/>
          <w:szCs w:val="32"/>
        </w:rPr>
        <w:t>中标标的号对应的所买粮食的实际交收库点：</w:t>
      </w:r>
      <w:r>
        <w:rPr>
          <w:rFonts w:hint="eastAsia" w:ascii="楷体" w:hAnsi="楷体" w:eastAsia="楷体" w:cs="楷体"/>
          <w:sz w:val="32"/>
          <w:szCs w:val="32"/>
          <w:lang w:val="en-US" w:eastAsia="zh-CN"/>
        </w:rPr>
        <w:t>*****</w:t>
      </w:r>
      <w:r>
        <w:rPr>
          <w:rFonts w:hint="eastAsia" w:ascii="楷体" w:hAnsi="楷体" w:eastAsia="楷体" w:cs="楷体"/>
          <w:sz w:val="32"/>
          <w:szCs w:val="32"/>
          <w:lang w:eastAsia="zh-CN"/>
        </w:rPr>
        <w:t>公司</w:t>
      </w:r>
      <w:r>
        <w:rPr>
          <w:rFonts w:ascii="楷体" w:hAnsi="楷体" w:eastAsia="楷体" w:cs="楷体"/>
          <w:sz w:val="32"/>
          <w:szCs w:val="32"/>
        </w:rPr>
        <w:t>。（交收库点详细地址：</w:t>
      </w:r>
      <w:r>
        <w:rPr>
          <w:rFonts w:hint="eastAsia" w:ascii="楷体" w:hAnsi="楷体" w:eastAsia="楷体" w:cs="楷体"/>
          <w:sz w:val="32"/>
          <w:szCs w:val="32"/>
          <w:lang w:val="en-US" w:eastAsia="zh-CN"/>
        </w:rPr>
        <w:t xml:space="preserve">        ）（详见清单）</w:t>
      </w:r>
      <w:r>
        <w:rPr>
          <w:rFonts w:ascii="楷体" w:hAnsi="楷体" w:eastAsia="楷体" w:cs="楷体"/>
          <w:sz w:val="32"/>
          <w:szCs w:val="32"/>
        </w:rPr>
        <w:t>。</w:t>
      </w:r>
    </w:p>
    <w:p w14:paraId="5F343C17">
      <w:pPr>
        <w:numPr>
          <w:ilvl w:val="0"/>
          <w:numId w:val="1"/>
        </w:numPr>
        <w:tabs>
          <w:tab w:val="left" w:pos="1125"/>
        </w:tabs>
        <w:spacing w:before="0" w:after="0"/>
        <w:ind w:left="0" w:firstLine="0"/>
        <w:rPr>
          <w:sz w:val="32"/>
          <w:szCs w:val="32"/>
        </w:rPr>
      </w:pPr>
      <w:r>
        <w:rPr>
          <w:rFonts w:ascii="楷体" w:hAnsi="楷体" w:eastAsia="楷体" w:cs="楷体"/>
          <w:b/>
          <w:bCs/>
          <w:sz w:val="32"/>
          <w:szCs w:val="32"/>
        </w:rPr>
        <w:t>交货方式</w:t>
      </w:r>
    </w:p>
    <w:p w14:paraId="515CC580">
      <w:pPr>
        <w:spacing w:before="0" w:after="0"/>
        <w:ind w:firstLine="640"/>
        <w:rPr>
          <w:sz w:val="32"/>
          <w:szCs w:val="32"/>
        </w:rPr>
      </w:pPr>
      <w:r>
        <w:rPr>
          <w:rFonts w:ascii="楷体" w:hAnsi="楷体" w:eastAsia="楷体" w:cs="楷体"/>
          <w:sz w:val="32"/>
          <w:szCs w:val="32"/>
        </w:rPr>
        <w:t>汽车散粮车板交货。</w:t>
      </w:r>
    </w:p>
    <w:p w14:paraId="33DFB658">
      <w:pPr>
        <w:numPr>
          <w:ilvl w:val="0"/>
          <w:numId w:val="1"/>
        </w:numPr>
        <w:tabs>
          <w:tab w:val="left" w:pos="1125"/>
        </w:tabs>
        <w:spacing w:before="0" w:after="0"/>
        <w:ind w:left="0" w:firstLine="0"/>
        <w:rPr>
          <w:sz w:val="32"/>
          <w:szCs w:val="32"/>
        </w:rPr>
      </w:pPr>
      <w:r>
        <w:rPr>
          <w:rFonts w:ascii="楷体" w:hAnsi="楷体" w:eastAsia="楷体" w:cs="楷体"/>
          <w:b/>
          <w:bCs/>
          <w:sz w:val="32"/>
          <w:szCs w:val="32"/>
        </w:rPr>
        <w:t>入库时间</w:t>
      </w:r>
    </w:p>
    <w:p w14:paraId="71365470">
      <w:pPr>
        <w:spacing w:before="0" w:after="0"/>
        <w:ind w:firstLine="640"/>
        <w:rPr>
          <w:sz w:val="32"/>
          <w:szCs w:val="32"/>
        </w:rPr>
      </w:pPr>
      <w:r>
        <w:rPr>
          <w:rFonts w:ascii="楷体" w:hAnsi="楷体" w:eastAsia="楷体" w:cs="楷体"/>
          <w:sz w:val="32"/>
          <w:szCs w:val="32"/>
        </w:rPr>
        <w:t>入库期为</w:t>
      </w:r>
      <w:r>
        <w:rPr>
          <w:rFonts w:ascii="楷体" w:hAnsi="楷体" w:eastAsia="楷体" w:cs="楷体"/>
          <w:sz w:val="32"/>
          <w:szCs w:val="32"/>
          <w:u w:val="single"/>
        </w:rPr>
        <w:t>   </w:t>
      </w:r>
      <w:r>
        <w:rPr>
          <w:rFonts w:ascii="楷体" w:hAnsi="楷体" w:eastAsia="楷体" w:cs="楷体"/>
          <w:sz w:val="32"/>
          <w:szCs w:val="32"/>
        </w:rPr>
        <w:t>年</w:t>
      </w:r>
      <w:r>
        <w:rPr>
          <w:rFonts w:ascii="楷体" w:hAnsi="楷体" w:eastAsia="楷体" w:cs="楷体"/>
          <w:sz w:val="32"/>
          <w:szCs w:val="32"/>
          <w:u w:val="single"/>
        </w:rPr>
        <w:t>  </w:t>
      </w:r>
      <w:r>
        <w:rPr>
          <w:rFonts w:ascii="楷体" w:hAnsi="楷体" w:eastAsia="楷体" w:cs="楷体"/>
          <w:sz w:val="32"/>
          <w:szCs w:val="32"/>
        </w:rPr>
        <w:t>月</w:t>
      </w:r>
      <w:r>
        <w:rPr>
          <w:rFonts w:ascii="楷体" w:hAnsi="楷体" w:eastAsia="楷体" w:cs="楷体"/>
          <w:sz w:val="32"/>
          <w:szCs w:val="32"/>
          <w:u w:val="single"/>
        </w:rPr>
        <w:t>   </w:t>
      </w:r>
      <w:r>
        <w:rPr>
          <w:rFonts w:ascii="楷体" w:hAnsi="楷体" w:eastAsia="楷体" w:cs="楷体"/>
          <w:sz w:val="32"/>
          <w:szCs w:val="32"/>
        </w:rPr>
        <w:t>日至</w:t>
      </w:r>
      <w:r>
        <w:rPr>
          <w:rFonts w:ascii="楷体" w:hAnsi="楷体" w:eastAsia="楷体" w:cs="楷体"/>
          <w:sz w:val="32"/>
          <w:szCs w:val="32"/>
          <w:u w:val="single"/>
        </w:rPr>
        <w:t>    </w:t>
      </w:r>
      <w:r>
        <w:rPr>
          <w:rFonts w:ascii="楷体" w:hAnsi="楷体" w:eastAsia="楷体" w:cs="楷体"/>
          <w:sz w:val="32"/>
          <w:szCs w:val="32"/>
        </w:rPr>
        <w:t>年</w:t>
      </w:r>
      <w:r>
        <w:rPr>
          <w:rFonts w:ascii="楷体" w:hAnsi="楷体" w:eastAsia="楷体" w:cs="楷体"/>
          <w:sz w:val="32"/>
          <w:szCs w:val="32"/>
          <w:u w:val="single"/>
        </w:rPr>
        <w:t>  </w:t>
      </w:r>
      <w:r>
        <w:rPr>
          <w:rFonts w:ascii="楷体" w:hAnsi="楷体" w:eastAsia="楷体" w:cs="楷体"/>
          <w:sz w:val="32"/>
          <w:szCs w:val="32"/>
        </w:rPr>
        <w:t>月</w:t>
      </w:r>
      <w:r>
        <w:rPr>
          <w:rFonts w:ascii="楷体" w:hAnsi="楷体" w:eastAsia="楷体" w:cs="楷体"/>
          <w:sz w:val="32"/>
          <w:szCs w:val="32"/>
          <w:u w:val="single"/>
        </w:rPr>
        <w:t>    </w:t>
      </w:r>
      <w:r>
        <w:rPr>
          <w:rFonts w:ascii="楷体" w:hAnsi="楷体" w:eastAsia="楷体" w:cs="楷体"/>
          <w:sz w:val="32"/>
          <w:szCs w:val="32"/>
        </w:rPr>
        <w:t>日。 </w:t>
      </w:r>
    </w:p>
    <w:p w14:paraId="415732F4">
      <w:pPr>
        <w:numPr>
          <w:ilvl w:val="0"/>
          <w:numId w:val="1"/>
        </w:numPr>
        <w:tabs>
          <w:tab w:val="left" w:pos="1125"/>
        </w:tabs>
        <w:spacing w:before="0" w:after="0"/>
        <w:ind w:left="0" w:firstLine="0"/>
        <w:rPr>
          <w:sz w:val="32"/>
          <w:szCs w:val="32"/>
        </w:rPr>
      </w:pPr>
      <w:r>
        <w:rPr>
          <w:rFonts w:ascii="楷体" w:hAnsi="楷体" w:eastAsia="楷体" w:cs="楷体"/>
          <w:b/>
          <w:bCs/>
          <w:sz w:val="32"/>
          <w:szCs w:val="32"/>
        </w:rPr>
        <w:t>货物验收办法</w:t>
      </w:r>
    </w:p>
    <w:p w14:paraId="33C5E072">
      <w:pPr>
        <w:spacing w:before="0" w:after="0"/>
        <w:ind w:firstLine="640"/>
        <w:rPr>
          <w:sz w:val="32"/>
          <w:szCs w:val="32"/>
        </w:rPr>
      </w:pPr>
      <w:r>
        <w:rPr>
          <w:rFonts w:ascii="楷体" w:hAnsi="楷体" w:eastAsia="楷体" w:cs="楷体"/>
          <w:sz w:val="32"/>
          <w:szCs w:val="32"/>
        </w:rPr>
        <w:t>（一）交货时，乙方当场验收。</w:t>
      </w:r>
    </w:p>
    <w:p w14:paraId="70E7ECC2">
      <w:pPr>
        <w:spacing w:before="0" w:after="0"/>
        <w:ind w:firstLine="640"/>
        <w:rPr>
          <w:sz w:val="32"/>
          <w:szCs w:val="32"/>
        </w:rPr>
      </w:pPr>
      <w:r>
        <w:rPr>
          <w:rFonts w:ascii="楷体" w:hAnsi="楷体" w:eastAsia="楷体" w:cs="楷体"/>
          <w:sz w:val="32"/>
          <w:szCs w:val="32"/>
        </w:rPr>
        <w:t>（二）入库粮食的质量以清单公布的标的指标为依据，具体以甲乙双方认可的实际检验结果为准；入库粮食的数量以本合同数量为依据，具体以实际交收地点地磅为准，甲方有权要求校磅，由此产生的相关费用及损失由过错方承担。</w:t>
      </w:r>
      <w:r>
        <w:rPr>
          <w:rStyle w:val="17"/>
          <w:rFonts w:ascii="楷体" w:hAnsi="楷体" w:eastAsia="楷体" w:cs="楷体"/>
          <w:sz w:val="32"/>
          <w:szCs w:val="32"/>
        </w:rPr>
        <w:t>若甲乙双方质量产生争议，则三方质检机构即SGS进行质检，该质检结果为最后依据，相关费用由过错方承担。</w:t>
      </w:r>
      <w:r>
        <w:rPr>
          <w:rFonts w:ascii="楷体" w:hAnsi="楷体" w:eastAsia="楷体" w:cs="楷体"/>
          <w:sz w:val="32"/>
          <w:szCs w:val="32"/>
        </w:rPr>
        <w:t>如出现质量不合格，双方可以协商解决。</w:t>
      </w:r>
    </w:p>
    <w:p w14:paraId="03E0B886">
      <w:pPr>
        <w:spacing w:before="210" w:after="210"/>
      </w:pPr>
      <w:r>
        <w:rPr>
          <w:rStyle w:val="18"/>
          <w:rFonts w:ascii="楷体" w:hAnsi="楷体" w:eastAsia="楷体" w:cs="楷体"/>
          <w:sz w:val="32"/>
          <w:szCs w:val="32"/>
        </w:rPr>
        <w:t>         </w:t>
      </w:r>
    </w:p>
    <w:p w14:paraId="30BC8F6C">
      <w:pPr>
        <w:spacing w:before="0" w:after="0"/>
        <w:rPr>
          <w:sz w:val="32"/>
          <w:szCs w:val="32"/>
        </w:rPr>
      </w:pPr>
      <w:r>
        <w:rPr>
          <w:rFonts w:ascii="楷体" w:hAnsi="楷体" w:eastAsia="楷体" w:cs="楷体"/>
          <w:b/>
          <w:bCs/>
          <w:sz w:val="32"/>
          <w:szCs w:val="32"/>
        </w:rPr>
        <w:t>第七条</w:t>
      </w:r>
      <w:r>
        <w:rPr>
          <w:rFonts w:ascii="楷体" w:hAnsi="楷体" w:eastAsia="楷体" w:cs="楷体"/>
          <w:sz w:val="32"/>
          <w:szCs w:val="32"/>
        </w:rPr>
        <w:t>  </w:t>
      </w:r>
      <w:r>
        <w:rPr>
          <w:rFonts w:ascii="楷体" w:hAnsi="楷体" w:eastAsia="楷体" w:cs="楷体"/>
          <w:b/>
          <w:bCs/>
          <w:sz w:val="32"/>
          <w:szCs w:val="32"/>
        </w:rPr>
        <w:t>结算方式</w:t>
      </w:r>
    </w:p>
    <w:p w14:paraId="29D2F3A6">
      <w:pPr>
        <w:keepNext w:val="0"/>
        <w:keepLines w:val="0"/>
        <w:pageBreakBefore w:val="0"/>
        <w:widowControl w:val="0"/>
        <w:kinsoku/>
        <w:wordWrap/>
        <w:overflowPunct/>
        <w:topLinePunct w:val="0"/>
        <w:autoSpaceDE/>
        <w:autoSpaceDN/>
        <w:bidi w:val="0"/>
        <w:adjustRightInd/>
        <w:snapToGrid/>
        <w:spacing w:before="0" w:after="0"/>
        <w:ind w:firstLine="640" w:firstLineChars="200"/>
        <w:textAlignment w:val="auto"/>
        <w:rPr>
          <w:rFonts w:ascii="楷体" w:hAnsi="楷体" w:eastAsia="楷体" w:cs="楷体"/>
          <w:sz w:val="32"/>
          <w:szCs w:val="32"/>
        </w:rPr>
      </w:pPr>
      <w:r>
        <w:rPr>
          <w:rFonts w:ascii="楷体" w:hAnsi="楷体" w:eastAsia="楷体" w:cs="楷体"/>
          <w:sz w:val="32"/>
          <w:szCs w:val="32"/>
        </w:rPr>
        <w:t>（一）初始履约保证金为</w:t>
      </w:r>
      <w:r>
        <w:rPr>
          <w:rFonts w:hint="eastAsia" w:ascii="楷体" w:hAnsi="楷体" w:eastAsia="楷体" w:cs="楷体"/>
          <w:sz w:val="32"/>
          <w:szCs w:val="32"/>
          <w:lang w:val="en-US" w:eastAsia="zh-CN"/>
        </w:rPr>
        <w:t>1</w:t>
      </w:r>
      <w:r>
        <w:rPr>
          <w:rFonts w:ascii="楷体" w:hAnsi="楷体" w:eastAsia="楷体" w:cs="楷体"/>
          <w:sz w:val="32"/>
          <w:szCs w:val="32"/>
        </w:rPr>
        <w:t>00元/吨，浮动保证金于成交之后在交货完成之前以按照基准价格,即签订当日大连商品交易所玉米合约C2507收盘价为基准（遇到节假日顺延），若关联的大商所玉米合约下市，顺延至下一玉米合约（基准价格变更为：顺延后的关联合约合同签订当日的收盘价），每上涨50元，甲方追加保证金50元/吨；每下跌50元，乙方追加保证金50元/吨。</w:t>
      </w:r>
      <w:r>
        <w:rPr>
          <w:rStyle w:val="19"/>
          <w:rFonts w:ascii="楷体" w:hAnsi="楷体" w:eastAsia="楷体" w:cs="楷体"/>
          <w:sz w:val="32"/>
          <w:szCs w:val="32"/>
        </w:rPr>
        <w:t>若已上涨或下跌达到追缴浮动保证金条件，须于第二个营业日15:00前补足应追缴的保证金。</w:t>
      </w:r>
      <w:r>
        <w:rPr>
          <w:rFonts w:ascii="楷体" w:hAnsi="楷体" w:eastAsia="楷体" w:cs="楷体"/>
          <w:sz w:val="32"/>
          <w:szCs w:val="32"/>
        </w:rPr>
        <w:t>若基准价格与当地现货价格出现背离，保证金追缴通知以丙方风控系统发送的电子指令为准，接收方应在收到通知后2个工作日内提出书面异议，逾期视为无异议。</w:t>
      </w:r>
    </w:p>
    <w:p w14:paraId="2AADC99B">
      <w:pPr>
        <w:spacing w:before="0" w:after="0"/>
        <w:ind w:firstLine="640"/>
      </w:pPr>
    </w:p>
    <w:p w14:paraId="7C8E2CA7">
      <w:pPr>
        <w:spacing w:before="0" w:after="0"/>
        <w:ind w:firstLine="640"/>
        <w:rPr>
          <w:sz w:val="32"/>
          <w:szCs w:val="32"/>
          <w:highlight w:val="none"/>
        </w:rPr>
      </w:pPr>
      <w:r>
        <w:rPr>
          <w:rFonts w:ascii="楷体" w:hAnsi="楷体" w:eastAsia="楷体" w:cs="楷体"/>
          <w:sz w:val="32"/>
          <w:szCs w:val="32"/>
        </w:rPr>
        <w:t>（二）货款支付方式：甲方依据清单要求进行玉米送货入库。</w:t>
      </w:r>
      <w:r>
        <w:rPr>
          <w:rFonts w:hint="eastAsia" w:ascii="楷体" w:hAnsi="楷体" w:eastAsia="楷体" w:cs="楷体"/>
          <w:sz w:val="32"/>
          <w:szCs w:val="32"/>
          <w:lang w:val="en-US" w:eastAsia="zh-CN"/>
        </w:rPr>
        <w:t>以标的为单位，</w:t>
      </w:r>
      <w:r>
        <w:rPr>
          <w:rFonts w:ascii="楷体" w:hAnsi="楷体" w:eastAsia="楷体" w:cs="楷体"/>
          <w:sz w:val="32"/>
          <w:szCs w:val="32"/>
        </w:rPr>
        <w:t>乙方在收到货物和甲方开具的增值税发票后，</w:t>
      </w:r>
      <w:r>
        <w:rPr>
          <w:rFonts w:hint="eastAsia" w:ascii="楷体" w:hAnsi="楷体" w:eastAsia="楷体" w:cs="楷体"/>
          <w:color w:val="FF0000"/>
          <w:sz w:val="32"/>
          <w:szCs w:val="32"/>
          <w:lang w:val="en-US" w:eastAsia="zh-CN"/>
        </w:rPr>
        <w:t>十个工作日内</w:t>
      </w:r>
      <w:r>
        <w:rPr>
          <w:rFonts w:hint="eastAsia" w:ascii="楷体" w:hAnsi="楷体" w:eastAsia="楷体" w:cs="楷体"/>
          <w:sz w:val="32"/>
          <w:szCs w:val="32"/>
          <w:highlight w:val="none"/>
          <w:lang w:val="en-US" w:eastAsia="zh-CN"/>
        </w:rPr>
        <w:t>将对应</w:t>
      </w:r>
      <w:r>
        <w:rPr>
          <w:rFonts w:ascii="楷体" w:hAnsi="楷体" w:eastAsia="楷体" w:cs="楷体"/>
          <w:sz w:val="32"/>
          <w:szCs w:val="32"/>
          <w:highlight w:val="none"/>
        </w:rPr>
        <w:t>货款100%支付到甲方指定账户。</w:t>
      </w:r>
    </w:p>
    <w:p w14:paraId="2A34434F">
      <w:pPr>
        <w:spacing w:before="0" w:after="0"/>
        <w:rPr>
          <w:sz w:val="32"/>
          <w:szCs w:val="32"/>
        </w:rPr>
      </w:pPr>
      <w:r>
        <w:rPr>
          <w:rFonts w:ascii="楷体" w:hAnsi="楷体" w:eastAsia="楷体" w:cs="楷体"/>
          <w:b/>
          <w:bCs/>
          <w:sz w:val="32"/>
          <w:szCs w:val="32"/>
        </w:rPr>
        <w:t>第八条 乙方违约事项</w:t>
      </w:r>
    </w:p>
    <w:p w14:paraId="7A71102E">
      <w:pPr>
        <w:spacing w:before="0" w:after="0"/>
        <w:ind w:firstLine="640"/>
        <w:rPr>
          <w:rFonts w:ascii="楷体" w:hAnsi="楷体" w:eastAsia="楷体" w:cs="楷体"/>
          <w:sz w:val="32"/>
          <w:szCs w:val="32"/>
        </w:rPr>
      </w:pPr>
      <w:r>
        <w:rPr>
          <w:rFonts w:ascii="楷体" w:hAnsi="楷体" w:eastAsia="楷体" w:cs="楷体"/>
          <w:sz w:val="32"/>
          <w:szCs w:val="32"/>
        </w:rPr>
        <w:t>（一）乙方未按合同规定时间支付全额货款，视为乙方违约；</w:t>
      </w:r>
    </w:p>
    <w:p w14:paraId="6D311485">
      <w:pPr>
        <w:spacing w:before="0" w:after="0"/>
        <w:ind w:firstLine="640"/>
        <w:rPr>
          <w:rFonts w:ascii="楷体" w:hAnsi="楷体" w:eastAsia="楷体" w:cs="楷体"/>
          <w:sz w:val="32"/>
          <w:szCs w:val="32"/>
        </w:rPr>
      </w:pPr>
      <w:r>
        <w:rPr>
          <w:rFonts w:ascii="楷体" w:hAnsi="楷体" w:eastAsia="楷体" w:cs="楷体"/>
          <w:sz w:val="32"/>
          <w:szCs w:val="32"/>
        </w:rPr>
        <w:t>（</w:t>
      </w:r>
      <w:r>
        <w:rPr>
          <w:rFonts w:hint="eastAsia" w:ascii="楷体" w:hAnsi="楷体" w:eastAsia="楷体" w:cs="楷体"/>
          <w:sz w:val="32"/>
          <w:szCs w:val="32"/>
          <w:lang w:val="en-US" w:eastAsia="zh-CN"/>
        </w:rPr>
        <w:t>二</w:t>
      </w:r>
      <w:r>
        <w:rPr>
          <w:rFonts w:ascii="楷体" w:hAnsi="楷体" w:eastAsia="楷体" w:cs="楷体"/>
          <w:sz w:val="32"/>
          <w:szCs w:val="32"/>
        </w:rPr>
        <w:t>）因乙方原因到期未全部入库，视为乙方构成违约；</w:t>
      </w:r>
    </w:p>
    <w:p w14:paraId="567E6985">
      <w:pPr>
        <w:spacing w:before="0" w:after="0"/>
        <w:ind w:firstLine="640"/>
        <w:rPr>
          <w:rFonts w:ascii="楷体" w:hAnsi="楷体" w:eastAsia="楷体" w:cs="楷体"/>
          <w:sz w:val="32"/>
          <w:szCs w:val="32"/>
        </w:rPr>
      </w:pPr>
      <w:r>
        <w:rPr>
          <w:rFonts w:ascii="楷体" w:hAnsi="楷体" w:eastAsia="楷体" w:cs="楷体"/>
          <w:sz w:val="32"/>
          <w:szCs w:val="32"/>
        </w:rPr>
        <w:t>（</w:t>
      </w:r>
      <w:r>
        <w:rPr>
          <w:rFonts w:hint="eastAsia" w:ascii="楷体" w:hAnsi="楷体" w:eastAsia="楷体" w:cs="楷体"/>
          <w:sz w:val="32"/>
          <w:szCs w:val="32"/>
          <w:lang w:val="en-US" w:eastAsia="zh-CN"/>
        </w:rPr>
        <w:t>三</w:t>
      </w:r>
      <w:r>
        <w:rPr>
          <w:rFonts w:ascii="楷体" w:hAnsi="楷体" w:eastAsia="楷体" w:cs="楷体"/>
          <w:sz w:val="32"/>
          <w:szCs w:val="32"/>
        </w:rPr>
        <w:t>）乙方未按合同规定及时追加保证金，视为违约。执行违约罚则的基础上，丙方有权对合同全部或剩余货物进行出售，出售价款用于支付甲方合同价款，其出售价款不足部分，甲方有权要求乙方补足。</w:t>
      </w:r>
    </w:p>
    <w:p w14:paraId="20FD0208">
      <w:pPr>
        <w:spacing w:before="210" w:after="210"/>
      </w:pPr>
    </w:p>
    <w:p w14:paraId="6AC521F6">
      <w:pPr>
        <w:spacing w:before="210" w:after="210"/>
      </w:pPr>
    </w:p>
    <w:p w14:paraId="41B26693">
      <w:pPr>
        <w:spacing w:before="210" w:after="210"/>
      </w:pPr>
    </w:p>
    <w:p w14:paraId="7ADC6F4A">
      <w:pPr>
        <w:spacing w:before="0" w:after="0"/>
        <w:rPr>
          <w:sz w:val="32"/>
          <w:szCs w:val="32"/>
        </w:rPr>
      </w:pPr>
      <w:r>
        <w:rPr>
          <w:rFonts w:ascii="楷体" w:hAnsi="楷体" w:eastAsia="楷体" w:cs="楷体"/>
          <w:b/>
          <w:bCs/>
          <w:sz w:val="32"/>
          <w:szCs w:val="32"/>
        </w:rPr>
        <w:t>第九条 甲方违约事项</w:t>
      </w:r>
    </w:p>
    <w:p w14:paraId="14BA5512">
      <w:pPr>
        <w:numPr>
          <w:ilvl w:val="0"/>
          <w:numId w:val="2"/>
        </w:numPr>
        <w:tabs>
          <w:tab w:val="left" w:pos="996"/>
        </w:tabs>
        <w:spacing w:before="0" w:after="0"/>
        <w:ind w:left="0" w:firstLine="420"/>
        <w:rPr>
          <w:sz w:val="32"/>
          <w:szCs w:val="32"/>
        </w:rPr>
      </w:pPr>
      <w:r>
        <w:rPr>
          <w:rFonts w:ascii="楷体" w:hAnsi="楷体" w:eastAsia="楷体" w:cs="楷体"/>
          <w:sz w:val="32"/>
          <w:szCs w:val="32"/>
        </w:rPr>
        <w:t>甲方未按合同规定时间交货，视为甲方违约；</w:t>
      </w:r>
    </w:p>
    <w:p w14:paraId="7C42E64B">
      <w:pPr>
        <w:numPr>
          <w:ilvl w:val="0"/>
          <w:numId w:val="2"/>
        </w:numPr>
        <w:tabs>
          <w:tab w:val="left" w:pos="996"/>
        </w:tabs>
        <w:spacing w:before="0" w:after="0"/>
        <w:ind w:left="0" w:firstLine="420"/>
        <w:rPr>
          <w:sz w:val="32"/>
          <w:szCs w:val="32"/>
        </w:rPr>
      </w:pPr>
      <w:r>
        <w:rPr>
          <w:rStyle w:val="24"/>
          <w:rFonts w:ascii="楷体" w:hAnsi="楷体" w:eastAsia="楷体" w:cs="楷体"/>
          <w:sz w:val="32"/>
          <w:szCs w:val="32"/>
        </w:rPr>
        <w:t>甲方未提供符合质量标准的粮食，视为甲方违约；</w:t>
      </w:r>
    </w:p>
    <w:p w14:paraId="06B79956">
      <w:pPr>
        <w:numPr>
          <w:ilvl w:val="0"/>
          <w:numId w:val="2"/>
        </w:numPr>
        <w:tabs>
          <w:tab w:val="left" w:pos="996"/>
        </w:tabs>
        <w:spacing w:before="0" w:after="0"/>
        <w:ind w:left="0" w:firstLine="420"/>
        <w:rPr>
          <w:sz w:val="32"/>
          <w:szCs w:val="32"/>
        </w:rPr>
      </w:pPr>
      <w:r>
        <w:rPr>
          <w:rFonts w:ascii="楷体" w:hAnsi="楷体" w:eastAsia="楷体" w:cs="楷体"/>
          <w:sz w:val="32"/>
          <w:szCs w:val="32"/>
        </w:rPr>
        <w:t>甲方未按合同规定及时追加保证金，视为甲方违约。</w:t>
      </w:r>
    </w:p>
    <w:p w14:paraId="2BD7CE3C">
      <w:pPr>
        <w:spacing w:before="0" w:after="0"/>
        <w:rPr>
          <w:sz w:val="32"/>
          <w:szCs w:val="32"/>
        </w:rPr>
      </w:pPr>
      <w:r>
        <w:rPr>
          <w:rFonts w:ascii="楷体" w:hAnsi="楷体" w:eastAsia="楷体" w:cs="楷体"/>
          <w:b/>
          <w:bCs/>
          <w:sz w:val="32"/>
          <w:szCs w:val="32"/>
        </w:rPr>
        <w:t>第十条 违约罚则</w:t>
      </w:r>
    </w:p>
    <w:p w14:paraId="242131CE">
      <w:pPr>
        <w:spacing w:before="0" w:after="0"/>
        <w:ind w:firstLine="640"/>
        <w:rPr>
          <w:sz w:val="32"/>
          <w:szCs w:val="32"/>
        </w:rPr>
      </w:pPr>
      <w:r>
        <w:rPr>
          <w:rFonts w:ascii="楷体" w:hAnsi="楷体" w:eastAsia="楷体" w:cs="楷体"/>
          <w:sz w:val="32"/>
          <w:szCs w:val="32"/>
        </w:rPr>
        <w:t>（一）</w:t>
      </w:r>
      <w:r>
        <w:rPr>
          <w:rStyle w:val="25"/>
          <w:rFonts w:ascii="楷体" w:hAnsi="楷体" w:eastAsia="楷体" w:cs="楷体"/>
          <w:sz w:val="32"/>
          <w:szCs w:val="32"/>
        </w:rPr>
        <w:t>守约方有权解除合同，合同解除不影响违约罚则执行；</w:t>
      </w:r>
    </w:p>
    <w:p w14:paraId="3AEE2F3E">
      <w:pPr>
        <w:spacing w:before="0" w:after="0"/>
        <w:ind w:firstLine="640"/>
        <w:rPr>
          <w:sz w:val="32"/>
          <w:szCs w:val="32"/>
        </w:rPr>
      </w:pPr>
      <w:r>
        <w:rPr>
          <w:rFonts w:ascii="楷体" w:hAnsi="楷体" w:eastAsia="楷体" w:cs="楷体"/>
          <w:sz w:val="32"/>
          <w:szCs w:val="32"/>
        </w:rPr>
        <w:t>（二）任意一方违约，守约方有权要求丙方按照违约方实际违约部分，</w:t>
      </w:r>
      <w:r>
        <w:rPr>
          <w:rStyle w:val="26"/>
          <w:rFonts w:ascii="楷体" w:hAnsi="楷体" w:eastAsia="楷体" w:cs="楷体"/>
          <w:sz w:val="32"/>
          <w:szCs w:val="32"/>
        </w:rPr>
        <w:t>扣除相应的保证金作为违约金，支付给守约方。如保证金不足以覆盖守约方实际损失，不足部分守约方有权要求违约方支付。</w:t>
      </w:r>
    </w:p>
    <w:p w14:paraId="28A10AA0">
      <w:pPr>
        <w:spacing w:before="0" w:after="0"/>
        <w:rPr>
          <w:sz w:val="32"/>
          <w:szCs w:val="32"/>
        </w:rPr>
      </w:pPr>
      <w:r>
        <w:rPr>
          <w:rFonts w:ascii="楷体" w:hAnsi="楷体" w:eastAsia="楷体" w:cs="楷体"/>
          <w:b/>
          <w:bCs/>
          <w:sz w:val="32"/>
          <w:szCs w:val="32"/>
        </w:rPr>
        <w:t>第十一条 商务纠纷解决方式</w:t>
      </w:r>
    </w:p>
    <w:p w14:paraId="1D5FD32B">
      <w:pPr>
        <w:spacing w:before="0" w:after="0"/>
        <w:ind w:firstLine="640"/>
        <w:rPr>
          <w:sz w:val="32"/>
          <w:szCs w:val="32"/>
        </w:rPr>
      </w:pPr>
      <w:r>
        <w:rPr>
          <w:rFonts w:ascii="楷体" w:hAnsi="楷体" w:eastAsia="楷体" w:cs="楷体"/>
          <w:sz w:val="32"/>
          <w:szCs w:val="32"/>
        </w:rPr>
        <w:t>本合同在履行过程中发生商务纠纷，甲乙双方协商解决，</w:t>
      </w:r>
      <w:r>
        <w:rPr>
          <w:rStyle w:val="27"/>
          <w:rFonts w:ascii="楷体" w:hAnsi="楷体" w:eastAsia="楷体" w:cs="楷体"/>
          <w:sz w:val="32"/>
          <w:szCs w:val="32"/>
        </w:rPr>
        <w:t>或由丙方调解；协商、调解未能达成一致的，可至丙方所在地法院提起诉讼。</w:t>
      </w:r>
    </w:p>
    <w:p w14:paraId="2842DB75">
      <w:pPr>
        <w:spacing w:before="0" w:after="0"/>
        <w:rPr>
          <w:sz w:val="32"/>
          <w:szCs w:val="32"/>
        </w:rPr>
      </w:pPr>
      <w:r>
        <w:rPr>
          <w:rFonts w:ascii="楷体" w:hAnsi="楷体" w:eastAsia="楷体" w:cs="楷体"/>
          <w:b/>
          <w:bCs/>
          <w:sz w:val="32"/>
          <w:szCs w:val="32"/>
        </w:rPr>
        <w:t>第十二条 不可抗力</w:t>
      </w:r>
    </w:p>
    <w:p w14:paraId="702732E1">
      <w:pPr>
        <w:spacing w:before="0" w:after="0"/>
        <w:ind w:firstLine="640" w:firstLineChars="200"/>
        <w:rPr>
          <w:rFonts w:ascii="楷体" w:hAnsi="楷体" w:eastAsia="楷体" w:cs="楷体"/>
          <w:sz w:val="32"/>
          <w:szCs w:val="32"/>
        </w:rPr>
      </w:pPr>
      <w:r>
        <w:rPr>
          <w:rStyle w:val="28"/>
          <w:rFonts w:ascii="楷体" w:hAnsi="楷体" w:eastAsia="楷体" w:cs="楷体"/>
          <w:sz w:val="32"/>
          <w:szCs w:val="32"/>
        </w:rPr>
        <w:t>在合同履行中，如果发生任何不可预见、不可避免并且不能克服的客观情况，丙方有权独立认定不可抗力事件，并据此决定资金处理方式。包括但不限于国家政策、法规的重大变化、地震、水灾、</w:t>
      </w:r>
      <w:r>
        <w:rPr>
          <w:rFonts w:ascii="楷体" w:hAnsi="楷体" w:eastAsia="楷体" w:cs="楷体"/>
          <w:sz w:val="32"/>
          <w:szCs w:val="32"/>
        </w:rPr>
        <w:t>传染性疾病以及战争等情形，而这种客观情况已经或可能将会对本协议中的任何一方产生重大实质性不利影响，导致其在本协议项下的义务无法履行或者无法全部履行，</w:t>
      </w:r>
      <w:r>
        <w:rPr>
          <w:rStyle w:val="29"/>
          <w:rFonts w:ascii="楷体" w:hAnsi="楷体" w:eastAsia="楷体" w:cs="楷体"/>
          <w:sz w:val="32"/>
          <w:szCs w:val="32"/>
        </w:rPr>
        <w:t>则经</w:t>
      </w:r>
      <w:r>
        <w:rPr>
          <w:rFonts w:ascii="楷体" w:hAnsi="楷体" w:eastAsia="楷体" w:cs="楷体"/>
          <w:sz w:val="32"/>
          <w:szCs w:val="32"/>
        </w:rPr>
        <w:t>本协议甲乙丙三方充分协商一致后可决定延期履行本协议。</w:t>
      </w:r>
    </w:p>
    <w:p w14:paraId="5B120C7D">
      <w:pPr>
        <w:spacing w:before="0" w:after="0"/>
        <w:rPr>
          <w:rFonts w:ascii="楷体" w:hAnsi="楷体" w:eastAsia="楷体" w:cs="楷体"/>
          <w:sz w:val="32"/>
          <w:szCs w:val="32"/>
        </w:rPr>
      </w:pPr>
      <w:r>
        <w:rPr>
          <w:rFonts w:ascii="楷体" w:hAnsi="楷体" w:eastAsia="楷体" w:cs="楷体"/>
          <w:sz w:val="32"/>
          <w:szCs w:val="32"/>
        </w:rPr>
        <w:t>         不可抗力情形持续超过30日的，丙方有权单方决定终止合同并按本合同约定进行清算。</w:t>
      </w:r>
    </w:p>
    <w:p w14:paraId="773CBF11">
      <w:pPr>
        <w:spacing w:before="210" w:after="210"/>
      </w:pPr>
    </w:p>
    <w:p w14:paraId="248E8209">
      <w:pPr>
        <w:spacing w:before="0" w:after="0"/>
        <w:rPr>
          <w:sz w:val="32"/>
          <w:szCs w:val="32"/>
        </w:rPr>
      </w:pPr>
      <w:r>
        <w:rPr>
          <w:rFonts w:ascii="楷体" w:hAnsi="楷体" w:eastAsia="楷体" w:cs="楷体"/>
          <w:b/>
          <w:bCs/>
          <w:sz w:val="32"/>
          <w:szCs w:val="32"/>
        </w:rPr>
        <w:t>第十三条</w:t>
      </w:r>
      <w:r>
        <w:rPr>
          <w:rFonts w:ascii="楷体" w:hAnsi="楷体" w:eastAsia="楷体" w:cs="楷体"/>
          <w:sz w:val="32"/>
          <w:szCs w:val="32"/>
        </w:rPr>
        <w:t> </w:t>
      </w:r>
      <w:r>
        <w:rPr>
          <w:rFonts w:ascii="楷体" w:hAnsi="楷体" w:eastAsia="楷体" w:cs="楷体"/>
          <w:b/>
          <w:bCs/>
          <w:sz w:val="32"/>
          <w:szCs w:val="32"/>
        </w:rPr>
        <w:t>合同生效及送达</w:t>
      </w:r>
    </w:p>
    <w:p w14:paraId="4F0FFCC5">
      <w:pPr>
        <w:spacing w:before="0" w:after="0"/>
        <w:ind w:firstLine="640"/>
        <w:rPr>
          <w:sz w:val="32"/>
          <w:szCs w:val="32"/>
        </w:rPr>
      </w:pPr>
      <w:r>
        <w:rPr>
          <w:rFonts w:ascii="楷体" w:hAnsi="楷体" w:eastAsia="楷体" w:cs="楷体"/>
          <w:sz w:val="32"/>
          <w:szCs w:val="32"/>
        </w:rPr>
        <w:t>本合同甲乙丙三方以传真或扫描件方式盖章后生效。</w:t>
      </w:r>
    </w:p>
    <w:p w14:paraId="40D3414F">
      <w:pPr>
        <w:spacing w:before="0" w:after="0"/>
        <w:ind w:firstLine="640"/>
        <w:rPr>
          <w:rFonts w:ascii="楷体" w:hAnsi="楷体" w:eastAsia="楷体" w:cs="楷体"/>
          <w:sz w:val="32"/>
          <w:szCs w:val="32"/>
        </w:rPr>
      </w:pPr>
      <w:r>
        <w:rPr>
          <w:rFonts w:ascii="楷体" w:hAnsi="楷体" w:eastAsia="楷体" w:cs="楷体"/>
          <w:sz w:val="32"/>
          <w:szCs w:val="32"/>
        </w:rPr>
        <w:t>如合同解除、争议未决或其他导致资金无法正常划拨的情形，丙方有权继续保管相关资金，直至甲乙双方达成书面一致意见或有生效法律文书明确资金归属，丙方不承担任何因资金暂时冻结、延迟划拨等产生的责任。</w:t>
      </w:r>
    </w:p>
    <w:p w14:paraId="4D6CE8EE">
      <w:pPr>
        <w:spacing w:before="210" w:after="210"/>
      </w:pPr>
      <w:r>
        <w:rPr>
          <w:rStyle w:val="33"/>
          <w:rFonts w:ascii="楷体" w:hAnsi="楷体" w:eastAsia="楷体" w:cs="楷体"/>
          <w:sz w:val="32"/>
          <w:szCs w:val="32"/>
        </w:rPr>
        <w:t>         </w:t>
      </w:r>
    </w:p>
    <w:p w14:paraId="0EA20600">
      <w:pPr>
        <w:spacing w:before="0" w:after="0"/>
        <w:ind w:firstLine="640"/>
      </w:pPr>
      <w:r>
        <w:rPr>
          <w:rStyle w:val="34"/>
          <w:rFonts w:ascii="楷体" w:hAnsi="楷体" w:eastAsia="楷体" w:cs="楷体"/>
          <w:sz w:val="32"/>
          <w:szCs w:val="32"/>
        </w:rPr>
        <w:t>交易中涉及各类通知、催告函及文告送达合同约定地址或发寄至如下信息系统中即视为送达：</w:t>
      </w:r>
    </w:p>
    <w:p w14:paraId="6C9BA927">
      <w:pPr>
        <w:spacing w:before="0" w:after="0"/>
        <w:rPr>
          <w:sz w:val="32"/>
          <w:szCs w:val="32"/>
        </w:rPr>
      </w:pPr>
      <w:r>
        <w:rPr>
          <w:rFonts w:ascii="楷体" w:hAnsi="楷体" w:eastAsia="楷体" w:cs="楷体"/>
          <w:sz w:val="32"/>
          <w:szCs w:val="32"/>
        </w:rPr>
        <w:t>1、以电子邮件方式发送的，通知方邮件系统显示已成功发送时视为送达该方；</w:t>
      </w:r>
    </w:p>
    <w:p w14:paraId="0FDAFA6C">
      <w:pPr>
        <w:spacing w:before="0" w:after="0"/>
        <w:rPr>
          <w:sz w:val="32"/>
          <w:szCs w:val="32"/>
        </w:rPr>
      </w:pPr>
      <w:r>
        <w:rPr>
          <w:rFonts w:ascii="楷体" w:hAnsi="楷体" w:eastAsia="楷体" w:cs="楷体"/>
          <w:sz w:val="32"/>
          <w:szCs w:val="32"/>
        </w:rPr>
        <w:t>2、以微信号方式发送的，信息发送至客户微信群或联系人微信时视为送达该方；</w:t>
      </w:r>
    </w:p>
    <w:p w14:paraId="48AB291E">
      <w:pPr>
        <w:spacing w:before="0" w:after="0"/>
        <w:rPr>
          <w:sz w:val="32"/>
          <w:szCs w:val="32"/>
        </w:rPr>
      </w:pPr>
      <w:r>
        <w:rPr>
          <w:rFonts w:ascii="楷体" w:hAnsi="楷体" w:eastAsia="楷体" w:cs="楷体"/>
          <w:sz w:val="32"/>
          <w:szCs w:val="32"/>
        </w:rPr>
        <w:t>3、以邮寄方式寄送的，签收时视为送达该方；</w:t>
      </w:r>
    </w:p>
    <w:p w14:paraId="4FFFE493">
      <w:pPr>
        <w:spacing w:before="0" w:after="0"/>
        <w:rPr>
          <w:sz w:val="32"/>
          <w:szCs w:val="32"/>
        </w:rPr>
      </w:pPr>
      <w:r>
        <w:rPr>
          <w:rStyle w:val="36"/>
          <w:rFonts w:ascii="楷体" w:hAnsi="楷体" w:eastAsia="楷体" w:cs="楷体"/>
          <w:sz w:val="32"/>
          <w:szCs w:val="32"/>
        </w:rPr>
        <w:t>以上任一方式送达均视为有效通知，业务过程中进行过业务对接的电子邮件地址、微信用户、收件地址，如无书面更正、停用通知，均为接收方的有效送达地址。</w:t>
      </w:r>
    </w:p>
    <w:p w14:paraId="6B292EA5">
      <w:pPr>
        <w:spacing w:before="210" w:after="210"/>
      </w:pPr>
      <w:r>
        <w:rPr>
          <w:rStyle w:val="39"/>
          <w:rFonts w:ascii="楷体" w:hAnsi="楷体" w:eastAsia="楷体" w:cs="楷体"/>
          <w:sz w:val="32"/>
          <w:szCs w:val="32"/>
        </w:rPr>
        <w:t>         </w:t>
      </w:r>
    </w:p>
    <w:p w14:paraId="5E9CA1D2">
      <w:pPr>
        <w:spacing w:before="0" w:after="0"/>
        <w:rPr>
          <w:sz w:val="32"/>
          <w:szCs w:val="32"/>
        </w:rPr>
      </w:pPr>
      <w:r>
        <w:rPr>
          <w:rFonts w:ascii="楷体" w:hAnsi="楷体" w:eastAsia="楷体" w:cs="楷体"/>
          <w:sz w:val="32"/>
          <w:szCs w:val="32"/>
        </w:rPr>
        <w:t>附件：</w:t>
      </w:r>
    </w:p>
    <w:p w14:paraId="6A86F6B7">
      <w:pPr>
        <w:numPr>
          <w:ilvl w:val="0"/>
          <w:numId w:val="3"/>
        </w:numPr>
        <w:tabs>
          <w:tab w:val="left" w:pos="497"/>
        </w:tabs>
        <w:spacing w:before="0" w:after="0"/>
        <w:ind w:left="0" w:firstLine="0"/>
        <w:rPr>
          <w:sz w:val="32"/>
          <w:szCs w:val="32"/>
        </w:rPr>
      </w:pPr>
      <w:r>
        <w:rPr>
          <w:rFonts w:hint="eastAsia" w:ascii="楷体" w:hAnsi="楷体" w:eastAsia="楷体" w:cs="楷体"/>
          <w:sz w:val="32"/>
          <w:szCs w:val="32"/>
          <w:highlight w:val="yellow"/>
          <w:lang w:val="en-US" w:eastAsia="zh-CN"/>
        </w:rPr>
        <w:t>*</w:t>
      </w:r>
      <w:r>
        <w:rPr>
          <w:rFonts w:hint="eastAsia" w:ascii="楷体" w:hAnsi="楷体" w:eastAsia="楷体" w:cs="楷体"/>
          <w:sz w:val="32"/>
          <w:szCs w:val="32"/>
          <w:highlight w:val="yellow"/>
        </w:rPr>
        <w:t>年</w:t>
      </w:r>
      <w:r>
        <w:rPr>
          <w:rFonts w:hint="eastAsia" w:ascii="楷体" w:hAnsi="楷体" w:eastAsia="楷体" w:cs="楷体"/>
          <w:sz w:val="32"/>
          <w:szCs w:val="32"/>
          <w:highlight w:val="yellow"/>
          <w:lang w:val="en-US" w:eastAsia="zh-CN"/>
        </w:rPr>
        <w:t>*</w:t>
      </w:r>
      <w:r>
        <w:rPr>
          <w:rFonts w:hint="eastAsia" w:ascii="楷体" w:hAnsi="楷体" w:eastAsia="楷体" w:cs="楷体"/>
          <w:sz w:val="32"/>
          <w:szCs w:val="32"/>
          <w:highlight w:val="yellow"/>
        </w:rPr>
        <w:t>月</w:t>
      </w:r>
      <w:r>
        <w:rPr>
          <w:rFonts w:hint="eastAsia" w:ascii="楷体" w:hAnsi="楷体" w:eastAsia="楷体" w:cs="楷体"/>
          <w:sz w:val="32"/>
          <w:szCs w:val="32"/>
          <w:highlight w:val="yellow"/>
          <w:lang w:val="en-US" w:eastAsia="zh-CN"/>
        </w:rPr>
        <w:t>*</w:t>
      </w:r>
      <w:r>
        <w:rPr>
          <w:rFonts w:hint="eastAsia" w:ascii="楷体" w:hAnsi="楷体" w:eastAsia="楷体" w:cs="楷体"/>
          <w:sz w:val="32"/>
          <w:szCs w:val="32"/>
          <w:highlight w:val="yellow"/>
        </w:rPr>
        <w:t>日（玉米）竞价采购交易清单（</w:t>
      </w:r>
      <w:r>
        <w:rPr>
          <w:rFonts w:hint="eastAsia" w:ascii="楷体" w:hAnsi="楷体" w:eastAsia="楷体" w:cs="楷体"/>
          <w:sz w:val="32"/>
          <w:szCs w:val="32"/>
          <w:highlight w:val="yellow"/>
          <w:lang w:val="en-US" w:eastAsia="zh-CN"/>
        </w:rPr>
        <w:t>*****</w:t>
      </w:r>
      <w:r>
        <w:rPr>
          <w:rFonts w:hint="eastAsia" w:ascii="楷体" w:hAnsi="楷体" w:eastAsia="楷体" w:cs="楷体"/>
          <w:sz w:val="32"/>
          <w:szCs w:val="32"/>
          <w:highlight w:val="yellow"/>
        </w:rPr>
        <w:t>）</w:t>
      </w:r>
    </w:p>
    <w:p w14:paraId="41D1AD45">
      <w:pPr>
        <w:spacing w:before="0" w:after="0"/>
        <w:rPr>
          <w:rFonts w:ascii="楷体" w:hAnsi="楷体" w:eastAsia="楷体" w:cs="楷体"/>
          <w:b/>
          <w:bCs/>
          <w:sz w:val="36"/>
          <w:szCs w:val="36"/>
        </w:rPr>
      </w:pPr>
    </w:p>
    <w:p w14:paraId="65C024B7">
      <w:pPr>
        <w:spacing w:before="0" w:after="0"/>
        <w:rPr>
          <w:sz w:val="28"/>
          <w:szCs w:val="28"/>
        </w:rPr>
      </w:pPr>
      <w:r>
        <w:rPr>
          <w:rFonts w:ascii="楷体" w:hAnsi="楷体" w:eastAsia="楷体" w:cs="楷体"/>
          <w:b/>
          <w:bCs/>
          <w:sz w:val="28"/>
          <w:szCs w:val="28"/>
        </w:rPr>
        <w:t>甲方：                   乙方：</w:t>
      </w:r>
    </w:p>
    <w:p w14:paraId="16B14EBD">
      <w:pPr>
        <w:spacing w:before="0" w:after="0"/>
        <w:ind w:firstLine="560"/>
        <w:rPr>
          <w:rFonts w:ascii="楷体" w:hAnsi="楷体" w:eastAsia="楷体" w:cs="楷体"/>
          <w:b/>
          <w:bCs/>
          <w:sz w:val="28"/>
          <w:szCs w:val="28"/>
        </w:rPr>
      </w:pPr>
    </w:p>
    <w:p w14:paraId="01CE2582">
      <w:pPr>
        <w:spacing w:before="0" w:after="0"/>
        <w:rPr>
          <w:rFonts w:ascii="楷体" w:hAnsi="楷体" w:eastAsia="楷体" w:cs="楷体"/>
          <w:b/>
          <w:bCs/>
          <w:sz w:val="28"/>
          <w:szCs w:val="28"/>
        </w:rPr>
      </w:pPr>
    </w:p>
    <w:p w14:paraId="17EEDA60">
      <w:pPr>
        <w:spacing w:before="0" w:after="0"/>
        <w:rPr>
          <w:sz w:val="28"/>
          <w:szCs w:val="28"/>
        </w:rPr>
      </w:pPr>
      <w:r>
        <w:rPr>
          <w:rFonts w:ascii="楷体" w:hAnsi="楷体" w:eastAsia="楷体" w:cs="楷体"/>
          <w:b/>
          <w:bCs/>
          <w:sz w:val="28"/>
          <w:szCs w:val="28"/>
        </w:rPr>
        <w:t>地址：                   地址：</w:t>
      </w:r>
    </w:p>
    <w:p w14:paraId="0E264620">
      <w:pPr>
        <w:spacing w:before="0" w:after="0"/>
        <w:ind w:firstLine="560"/>
        <w:rPr>
          <w:rFonts w:ascii="楷体" w:hAnsi="楷体" w:eastAsia="楷体" w:cs="楷体"/>
          <w:b/>
          <w:bCs/>
          <w:sz w:val="28"/>
          <w:szCs w:val="28"/>
        </w:rPr>
      </w:pPr>
    </w:p>
    <w:p w14:paraId="52633E8F">
      <w:pPr>
        <w:spacing w:before="0" w:after="0"/>
        <w:rPr>
          <w:rFonts w:ascii="楷体" w:hAnsi="楷体" w:eastAsia="楷体" w:cs="楷体"/>
          <w:b/>
          <w:bCs/>
          <w:sz w:val="28"/>
          <w:szCs w:val="28"/>
        </w:rPr>
      </w:pPr>
    </w:p>
    <w:p w14:paraId="06C05972">
      <w:pPr>
        <w:spacing w:before="0" w:after="0"/>
        <w:rPr>
          <w:sz w:val="28"/>
          <w:szCs w:val="28"/>
        </w:rPr>
      </w:pPr>
      <w:r>
        <w:rPr>
          <w:rFonts w:ascii="楷体" w:hAnsi="楷体" w:eastAsia="楷体" w:cs="楷体"/>
          <w:b/>
          <w:bCs/>
          <w:sz w:val="28"/>
          <w:szCs w:val="28"/>
        </w:rPr>
        <w:t>代表人（签章）：          代表人（签章）：</w:t>
      </w:r>
    </w:p>
    <w:p w14:paraId="2E5D7138">
      <w:pPr>
        <w:spacing w:before="0" w:after="0"/>
        <w:rPr>
          <w:rFonts w:ascii="楷体" w:hAnsi="楷体" w:eastAsia="楷体" w:cs="楷体"/>
          <w:b/>
          <w:bCs/>
          <w:sz w:val="36"/>
          <w:szCs w:val="36"/>
        </w:rPr>
      </w:pPr>
    </w:p>
    <w:p w14:paraId="201D6EC8">
      <w:pPr>
        <w:spacing w:before="0" w:after="0"/>
        <w:rPr>
          <w:sz w:val="28"/>
          <w:szCs w:val="28"/>
        </w:rPr>
      </w:pPr>
      <w:r>
        <w:rPr>
          <w:rFonts w:ascii="楷体" w:hAnsi="楷体" w:eastAsia="楷体" w:cs="楷体"/>
          <w:b/>
          <w:bCs/>
          <w:sz w:val="28"/>
          <w:szCs w:val="28"/>
        </w:rPr>
        <w:t>丙方：南京国家粮食交易中心玉米分中心</w:t>
      </w:r>
    </w:p>
    <w:p w14:paraId="531F0CE8">
      <w:pPr>
        <w:spacing w:before="210" w:after="210"/>
      </w:pPr>
      <w:r>
        <w:rPr>
          <w:rStyle w:val="41"/>
          <w:rFonts w:ascii="楷体" w:hAnsi="楷体" w:eastAsia="楷体" w:cs="楷体"/>
          <w:b/>
          <w:bCs/>
          <w:sz w:val="28"/>
          <w:szCs w:val="28"/>
        </w:rPr>
        <w:t>         </w:t>
      </w:r>
    </w:p>
    <w:p w14:paraId="68EEFF04">
      <w:pPr>
        <w:spacing w:before="0" w:after="0"/>
        <w:rPr>
          <w:sz w:val="28"/>
          <w:szCs w:val="28"/>
        </w:rPr>
      </w:pPr>
      <w:r>
        <w:rPr>
          <w:rFonts w:ascii="楷体" w:hAnsi="楷体" w:eastAsia="楷体" w:cs="楷体"/>
          <w:b/>
          <w:bCs/>
          <w:sz w:val="28"/>
          <w:szCs w:val="28"/>
        </w:rPr>
        <w:t>地址：       </w:t>
      </w:r>
    </w:p>
    <w:p w14:paraId="42473281">
      <w:pPr>
        <w:spacing w:before="0" w:after="0"/>
        <w:rPr>
          <w:sz w:val="28"/>
          <w:szCs w:val="28"/>
        </w:rPr>
      </w:pPr>
      <w:r>
        <w:rPr>
          <w:rFonts w:ascii="楷体" w:hAnsi="楷体" w:eastAsia="楷体" w:cs="楷体"/>
          <w:b/>
          <w:bCs/>
          <w:sz w:val="28"/>
          <w:szCs w:val="28"/>
        </w:rPr>
        <w:t>                   </w:t>
      </w:r>
    </w:p>
    <w:p w14:paraId="233FB3C2">
      <w:pPr>
        <w:spacing w:before="0" w:after="0"/>
        <w:rPr>
          <w:sz w:val="28"/>
          <w:szCs w:val="28"/>
        </w:rPr>
      </w:pPr>
      <w:r>
        <w:rPr>
          <w:rFonts w:ascii="楷体" w:hAnsi="楷体" w:eastAsia="楷体" w:cs="楷体"/>
          <w:b/>
          <w:bCs/>
          <w:sz w:val="28"/>
          <w:szCs w:val="28"/>
        </w:rPr>
        <w:t>代表人（签章）： </w:t>
      </w:r>
    </w:p>
    <w:p w14:paraId="6554E0CA">
      <w:pPr>
        <w:spacing w:before="0" w:after="0"/>
        <w:rPr>
          <w:rFonts w:ascii="楷体" w:hAnsi="楷体" w:eastAsia="楷体" w:cs="楷体"/>
          <w:b/>
          <w:bCs/>
          <w:sz w:val="28"/>
          <w:szCs w:val="28"/>
        </w:rPr>
      </w:pPr>
    </w:p>
    <w:p w14:paraId="657FF0A2">
      <w:pPr>
        <w:spacing w:before="0" w:after="0"/>
        <w:ind w:firstLine="560"/>
        <w:jc w:val="right"/>
        <w:rPr>
          <w:sz w:val="28"/>
          <w:szCs w:val="28"/>
        </w:rPr>
      </w:pPr>
      <w:r>
        <w:rPr>
          <w:rFonts w:ascii="楷体" w:hAnsi="楷体" w:eastAsia="楷体" w:cs="楷体"/>
          <w:b/>
          <w:bCs/>
          <w:sz w:val="28"/>
          <w:szCs w:val="28"/>
        </w:rPr>
        <w:t>202</w:t>
      </w:r>
      <w:r>
        <w:rPr>
          <w:rFonts w:hint="eastAsia" w:ascii="楷体" w:hAnsi="楷体" w:eastAsia="楷体" w:cs="楷体"/>
          <w:b/>
          <w:bCs/>
          <w:sz w:val="28"/>
          <w:szCs w:val="28"/>
          <w:lang w:val="en-US" w:eastAsia="zh-CN"/>
        </w:rPr>
        <w:t>6</w:t>
      </w:r>
      <w:bookmarkStart w:id="0" w:name="_GoBack"/>
      <w:bookmarkEnd w:id="0"/>
      <w:r>
        <w:rPr>
          <w:rFonts w:ascii="楷体" w:hAnsi="楷体" w:eastAsia="楷体" w:cs="楷体"/>
          <w:b/>
          <w:bCs/>
          <w:sz w:val="28"/>
          <w:szCs w:val="28"/>
        </w:rPr>
        <w:t>年</w:t>
      </w:r>
      <w:r>
        <w:rPr>
          <w:rFonts w:hint="eastAsia" w:ascii="楷体" w:hAnsi="楷体" w:eastAsia="楷体" w:cs="楷体"/>
          <w:b/>
          <w:bCs/>
          <w:sz w:val="28"/>
          <w:szCs w:val="28"/>
          <w:lang w:val="en-US" w:eastAsia="zh-CN"/>
        </w:rPr>
        <w:t xml:space="preserve">  </w:t>
      </w:r>
      <w:r>
        <w:rPr>
          <w:rFonts w:ascii="楷体" w:hAnsi="楷体" w:eastAsia="楷体" w:cs="楷体"/>
          <w:b/>
          <w:bCs/>
          <w:sz w:val="28"/>
          <w:szCs w:val="28"/>
        </w:rPr>
        <w:t>月</w:t>
      </w:r>
      <w:r>
        <w:rPr>
          <w:rFonts w:hint="eastAsia" w:ascii="楷体" w:hAnsi="楷体" w:eastAsia="楷体" w:cs="楷体"/>
          <w:b/>
          <w:bCs/>
          <w:sz w:val="28"/>
          <w:szCs w:val="28"/>
          <w:lang w:val="en-US" w:eastAsia="zh-CN"/>
        </w:rPr>
        <w:t xml:space="preserve">  </w:t>
      </w:r>
      <w:r>
        <w:rPr>
          <w:rFonts w:ascii="楷体" w:hAnsi="楷体" w:eastAsia="楷体" w:cs="楷体"/>
          <w:b/>
          <w:bCs/>
          <w:sz w:val="28"/>
          <w:szCs w:val="28"/>
        </w:rPr>
        <w:t>日</w:t>
      </w:r>
    </w:p>
    <w:p w14:paraId="438F7346">
      <w:pPr>
        <w:spacing w:before="0" w:after="0"/>
        <w:ind w:firstLine="420"/>
        <w:jc w:val="right"/>
        <w:rPr>
          <w:rFonts w:ascii="Calibri" w:hAnsi="Calibri" w:eastAsia="Calibri" w:cs="Calibri"/>
          <w:b/>
          <w:bCs/>
          <w:sz w:val="21"/>
          <w:szCs w:val="21"/>
        </w:rPr>
      </w:pPr>
    </w:p>
    <w:p w14:paraId="384F86CB">
      <w:pPr>
        <w:spacing w:before="0" w:after="0"/>
        <w:ind w:firstLine="420"/>
        <w:jc w:val="right"/>
        <w:rPr>
          <w:rFonts w:ascii="Calibri" w:hAnsi="Calibri" w:eastAsia="Calibri" w:cs="Calibri"/>
          <w:b/>
          <w:bCs/>
          <w:sz w:val="21"/>
          <w:szCs w:val="21"/>
        </w:rPr>
      </w:pPr>
    </w:p>
    <w:p w14:paraId="043231F8">
      <w:pPr>
        <w:spacing w:before="0" w:after="0"/>
        <w:rPr>
          <w:rFonts w:ascii="Calibri" w:hAnsi="Calibri" w:eastAsia="Calibri" w:cs="Calibri"/>
          <w:b/>
          <w:bCs/>
          <w:sz w:val="21"/>
          <w:szCs w:val="21"/>
        </w:rPr>
      </w:pPr>
    </w:p>
    <w:p w14:paraId="071C9073">
      <w:pPr>
        <w:spacing w:before="0" w:after="0"/>
        <w:rPr>
          <w:rFonts w:ascii="Calibri" w:hAnsi="Calibri" w:eastAsia="Calibri" w:cs="Calibri"/>
          <w:b/>
          <w:bCs/>
          <w:sz w:val="21"/>
          <w:szCs w:val="21"/>
        </w:rPr>
      </w:pPr>
    </w:p>
    <w:p w14:paraId="56FF5DC1">
      <w:pPr>
        <w:spacing w:before="0" w:after="0"/>
        <w:rPr>
          <w:sz w:val="32"/>
          <w:szCs w:val="32"/>
        </w:rPr>
      </w:pPr>
      <w:r>
        <w:rPr>
          <w:rFonts w:ascii="楷体" w:hAnsi="楷体" w:eastAsia="楷体" w:cs="楷体"/>
          <w:b/>
          <w:bCs/>
          <w:sz w:val="32"/>
          <w:szCs w:val="32"/>
        </w:rPr>
        <w:t>附带交易清单</w:t>
      </w:r>
    </w:p>
    <w:p w14:paraId="5505C140">
      <w:pPr>
        <w:spacing w:before="0" w:after="0"/>
        <w:rPr>
          <w:rFonts w:ascii="Calibri" w:hAnsi="Calibri" w:eastAsia="Calibri" w:cs="Calibri"/>
          <w:b/>
          <w:bCs/>
          <w:sz w:val="21"/>
          <w:szCs w:val="21"/>
        </w:rPr>
      </w:pPr>
    </w:p>
    <w:p w14:paraId="5540C59B">
      <w:pPr>
        <w:spacing w:before="0" w:after="0"/>
        <w:rPr>
          <w:rFonts w:ascii="Calibri" w:hAnsi="Calibri" w:eastAsia="Calibri" w:cs="Calibri"/>
          <w:b/>
          <w:bCs/>
          <w:sz w:val="21"/>
          <w:szCs w:val="21"/>
        </w:rPr>
      </w:pPr>
    </w:p>
    <w:p w14:paraId="56BBA314">
      <w:pPr>
        <w:spacing w:before="0" w:after="0"/>
        <w:rPr>
          <w:rFonts w:ascii="Calibri" w:hAnsi="Calibri" w:eastAsia="Calibri" w:cs="Calibri"/>
          <w:b/>
          <w:bCs/>
          <w:sz w:val="21"/>
          <w:szCs w:val="21"/>
        </w:rPr>
      </w:pPr>
    </w:p>
    <w:p w14:paraId="540CC547">
      <w:pPr>
        <w:spacing w:before="0" w:after="0"/>
        <w:rPr>
          <w:rFonts w:ascii="Calibri" w:hAnsi="Calibri" w:eastAsia="Calibri" w:cs="Calibri"/>
          <w:b/>
          <w:bCs/>
          <w:sz w:val="21"/>
          <w:szCs w:val="21"/>
        </w:rPr>
      </w:pPr>
    </w:p>
    <w:p w14:paraId="0399422E">
      <w:pPr>
        <w:spacing w:before="0" w:after="0"/>
        <w:rPr>
          <w:rFonts w:ascii="Calibri" w:hAnsi="Calibri" w:eastAsia="Calibri" w:cs="Calibri"/>
          <w:b/>
          <w:bCs/>
          <w:sz w:val="21"/>
          <w:szCs w:val="21"/>
        </w:rPr>
      </w:pPr>
    </w:p>
    <w:p w14:paraId="5C01BA01">
      <w:pPr>
        <w:spacing w:before="0" w:after="0"/>
        <w:rPr>
          <w:rFonts w:ascii="Calibri" w:hAnsi="Calibri" w:eastAsia="Calibri" w:cs="Calibri"/>
          <w:b/>
          <w:bCs/>
          <w:sz w:val="21"/>
          <w:szCs w:val="21"/>
        </w:rPr>
      </w:pPr>
    </w:p>
    <w:p w14:paraId="3CC67418">
      <w:pPr>
        <w:spacing w:before="0" w:after="0"/>
        <w:rPr>
          <w:rFonts w:ascii="Calibri" w:hAnsi="Calibri" w:eastAsia="Calibri" w:cs="Calibri"/>
          <w:b/>
          <w:bCs/>
          <w:sz w:val="21"/>
          <w:szCs w:val="21"/>
        </w:rPr>
      </w:pPr>
    </w:p>
    <w:p w14:paraId="17B07675">
      <w:pPr>
        <w:spacing w:before="0" w:after="0"/>
        <w:rPr>
          <w:rFonts w:ascii="Calibri" w:hAnsi="Calibri" w:eastAsia="Calibri" w:cs="Calibri"/>
          <w:b/>
          <w:bCs/>
          <w:sz w:val="21"/>
          <w:szCs w:val="21"/>
        </w:rPr>
      </w:pPr>
    </w:p>
    <w:p w14:paraId="44670F09">
      <w:pPr>
        <w:spacing w:before="0" w:after="0"/>
        <w:rPr>
          <w:rFonts w:ascii="Calibri" w:hAnsi="Calibri" w:eastAsia="Calibri" w:cs="Calibri"/>
          <w:b/>
          <w:bCs/>
          <w:sz w:val="21"/>
          <w:szCs w:val="21"/>
        </w:rPr>
      </w:pPr>
    </w:p>
    <w:p w14:paraId="51263E4F">
      <w:pPr>
        <w:spacing w:before="0" w:after="0"/>
        <w:rPr>
          <w:rFonts w:ascii="Calibri" w:hAnsi="Calibri" w:eastAsia="Calibri" w:cs="Calibri"/>
          <w:b/>
          <w:bCs/>
          <w:sz w:val="21"/>
          <w:szCs w:val="21"/>
        </w:rPr>
      </w:pPr>
    </w:p>
    <w:p w14:paraId="6CCAD28E">
      <w:pPr>
        <w:spacing w:before="0" w:after="0"/>
        <w:rPr>
          <w:rFonts w:ascii="Calibri" w:hAnsi="Calibri" w:eastAsia="Calibri" w:cs="Calibri"/>
          <w:b/>
          <w:bCs/>
          <w:sz w:val="21"/>
          <w:szCs w:val="21"/>
        </w:rPr>
      </w:pPr>
    </w:p>
    <w:p w14:paraId="6D82DC2D">
      <w:pPr>
        <w:spacing w:before="0" w:after="0"/>
        <w:rPr>
          <w:rFonts w:ascii="Calibri" w:hAnsi="Calibri" w:eastAsia="Calibri" w:cs="Calibri"/>
          <w:b/>
          <w:bCs/>
          <w:sz w:val="21"/>
          <w:szCs w:val="21"/>
        </w:rPr>
      </w:pPr>
    </w:p>
    <w:p w14:paraId="7EB4AABF">
      <w:pPr>
        <w:spacing w:before="0" w:after="0"/>
        <w:rPr>
          <w:rFonts w:ascii="Calibri" w:hAnsi="Calibri" w:eastAsia="Calibri" w:cs="Calibri"/>
          <w:b/>
          <w:bCs/>
          <w:sz w:val="21"/>
          <w:szCs w:val="21"/>
        </w:rPr>
      </w:pPr>
    </w:p>
    <w:sectPr>
      <w:pgMar w:top="1440" w:right="1800" w:bottom="1440" w:left="180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libri Light">
    <w:panose1 w:val="020F0302020204030204"/>
    <w:charset w:val="00"/>
    <w:family w:val="auto"/>
    <w:pitch w:val="default"/>
    <w:sig w:usb0="E4002EFF" w:usb1="C200247B" w:usb2="00000009" w:usb3="00000000" w:csb0="200001FF"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1"/>
    <w:multiLevelType w:val="multilevel"/>
    <w:tmpl w:val="00000001"/>
    <w:lvl w:ilvl="0" w:tentative="0">
      <w:start w:val="1"/>
      <w:numFmt w:val="chineseCounting"/>
      <w:lvlText w:val="第%1条 "/>
      <w:lvlJc w:val="left"/>
      <w:pPr>
        <w:ind w:left="0" w:firstLine="0"/>
      </w:pPr>
      <w:rPr>
        <w:rFonts w:ascii="宋体" w:hAnsi="宋体" w:eastAsia="宋体" w:cs="宋体"/>
        <w:b/>
        <w:bCs/>
        <w:sz w:val="32"/>
        <w:szCs w:val="32"/>
      </w:rPr>
    </w:lvl>
    <w:lvl w:ilvl="1" w:tentative="0">
      <w:start w:val="1"/>
      <w:numFmt w:val="bullet"/>
      <w:lvlText w:val="o"/>
      <w:lvlJc w:val="left"/>
      <w:pPr>
        <w:tabs>
          <w:tab w:val="left" w:pos="1440"/>
        </w:tabs>
        <w:ind w:left="1440" w:hanging="360"/>
      </w:pPr>
      <w:rPr>
        <w:rFonts w:ascii="Courier New" w:hAnsi="Courier New"/>
      </w:rPr>
    </w:lvl>
    <w:lvl w:ilvl="2" w:tentative="0">
      <w:start w:val="1"/>
      <w:numFmt w:val="bullet"/>
      <w:lvlText w:val=""/>
      <w:lvlJc w:val="left"/>
      <w:pPr>
        <w:tabs>
          <w:tab w:val="left" w:pos="2160"/>
        </w:tabs>
        <w:ind w:left="2160" w:hanging="360"/>
      </w:pPr>
      <w:rPr>
        <w:rFonts w:ascii="Wingdings" w:hAnsi="Wingdings"/>
      </w:rPr>
    </w:lvl>
    <w:lvl w:ilvl="3" w:tentative="0">
      <w:start w:val="1"/>
      <w:numFmt w:val="bullet"/>
      <w:lvlText w:val=""/>
      <w:lvlJc w:val="left"/>
      <w:pPr>
        <w:tabs>
          <w:tab w:val="left" w:pos="2880"/>
        </w:tabs>
        <w:ind w:left="2880" w:hanging="360"/>
      </w:pPr>
      <w:rPr>
        <w:rFonts w:ascii="Symbol" w:hAnsi="Symbol"/>
      </w:rPr>
    </w:lvl>
    <w:lvl w:ilvl="4" w:tentative="0">
      <w:start w:val="1"/>
      <w:numFmt w:val="bullet"/>
      <w:lvlText w:val="o"/>
      <w:lvlJc w:val="left"/>
      <w:pPr>
        <w:tabs>
          <w:tab w:val="left" w:pos="3600"/>
        </w:tabs>
        <w:ind w:left="3600" w:hanging="360"/>
      </w:pPr>
      <w:rPr>
        <w:rFonts w:ascii="Courier New" w:hAnsi="Courier New"/>
      </w:rPr>
    </w:lvl>
    <w:lvl w:ilvl="5" w:tentative="0">
      <w:start w:val="1"/>
      <w:numFmt w:val="bullet"/>
      <w:lvlText w:val=""/>
      <w:lvlJc w:val="left"/>
      <w:pPr>
        <w:tabs>
          <w:tab w:val="left" w:pos="4320"/>
        </w:tabs>
        <w:ind w:left="4320" w:hanging="360"/>
      </w:pPr>
      <w:rPr>
        <w:rFonts w:ascii="Wingdings" w:hAnsi="Wingdings"/>
      </w:rPr>
    </w:lvl>
    <w:lvl w:ilvl="6" w:tentative="0">
      <w:start w:val="1"/>
      <w:numFmt w:val="bullet"/>
      <w:lvlText w:val=""/>
      <w:lvlJc w:val="left"/>
      <w:pPr>
        <w:tabs>
          <w:tab w:val="left" w:pos="5040"/>
        </w:tabs>
        <w:ind w:left="5040" w:hanging="360"/>
      </w:pPr>
      <w:rPr>
        <w:rFonts w:ascii="Symbol" w:hAnsi="Symbol"/>
      </w:rPr>
    </w:lvl>
    <w:lvl w:ilvl="7" w:tentative="0">
      <w:start w:val="1"/>
      <w:numFmt w:val="bullet"/>
      <w:lvlText w:val="o"/>
      <w:lvlJc w:val="left"/>
      <w:pPr>
        <w:tabs>
          <w:tab w:val="left" w:pos="5760"/>
        </w:tabs>
        <w:ind w:left="5760" w:hanging="360"/>
      </w:pPr>
      <w:rPr>
        <w:rFonts w:ascii="Courier New" w:hAnsi="Courier New"/>
      </w:rPr>
    </w:lvl>
    <w:lvl w:ilvl="8" w:tentative="0">
      <w:start w:val="1"/>
      <w:numFmt w:val="bullet"/>
      <w:lvlText w:val=""/>
      <w:lvlJc w:val="left"/>
      <w:pPr>
        <w:tabs>
          <w:tab w:val="left" w:pos="6480"/>
        </w:tabs>
        <w:ind w:left="6480" w:hanging="360"/>
      </w:pPr>
      <w:rPr>
        <w:rFonts w:ascii="Wingdings" w:hAnsi="Wingdings"/>
      </w:rPr>
    </w:lvl>
  </w:abstractNum>
  <w:abstractNum w:abstractNumId="1">
    <w:nsid w:val="00000003"/>
    <w:multiLevelType w:val="multilevel"/>
    <w:tmpl w:val="00000003"/>
    <w:lvl w:ilvl="0" w:tentative="0">
      <w:start w:val="1"/>
      <w:numFmt w:val="chineseCounting"/>
      <w:lvlText w:val="（%1）"/>
      <w:lvlJc w:val="left"/>
      <w:pPr>
        <w:ind w:left="0" w:firstLine="0"/>
      </w:pPr>
      <w:rPr>
        <w:rFonts w:ascii="楷体" w:hAnsi="楷体" w:eastAsia="楷体" w:cs="楷体"/>
        <w:sz w:val="32"/>
        <w:szCs w:val="32"/>
      </w:rPr>
    </w:lvl>
    <w:lvl w:ilvl="1" w:tentative="0">
      <w:start w:val="1"/>
      <w:numFmt w:val="bullet"/>
      <w:lvlText w:val="o"/>
      <w:lvlJc w:val="left"/>
      <w:pPr>
        <w:tabs>
          <w:tab w:val="left" w:pos="1440"/>
        </w:tabs>
        <w:ind w:left="1440" w:hanging="360"/>
      </w:pPr>
      <w:rPr>
        <w:rFonts w:ascii="Courier New" w:hAnsi="Courier New"/>
      </w:rPr>
    </w:lvl>
    <w:lvl w:ilvl="2" w:tentative="0">
      <w:start w:val="1"/>
      <w:numFmt w:val="bullet"/>
      <w:lvlText w:val=""/>
      <w:lvlJc w:val="left"/>
      <w:pPr>
        <w:tabs>
          <w:tab w:val="left" w:pos="2160"/>
        </w:tabs>
        <w:ind w:left="2160" w:hanging="360"/>
      </w:pPr>
      <w:rPr>
        <w:rFonts w:ascii="Wingdings" w:hAnsi="Wingdings"/>
      </w:rPr>
    </w:lvl>
    <w:lvl w:ilvl="3" w:tentative="0">
      <w:start w:val="1"/>
      <w:numFmt w:val="bullet"/>
      <w:lvlText w:val=""/>
      <w:lvlJc w:val="left"/>
      <w:pPr>
        <w:tabs>
          <w:tab w:val="left" w:pos="2880"/>
        </w:tabs>
        <w:ind w:left="2880" w:hanging="360"/>
      </w:pPr>
      <w:rPr>
        <w:rFonts w:ascii="Symbol" w:hAnsi="Symbol"/>
      </w:rPr>
    </w:lvl>
    <w:lvl w:ilvl="4" w:tentative="0">
      <w:start w:val="1"/>
      <w:numFmt w:val="bullet"/>
      <w:lvlText w:val="o"/>
      <w:lvlJc w:val="left"/>
      <w:pPr>
        <w:tabs>
          <w:tab w:val="left" w:pos="3600"/>
        </w:tabs>
        <w:ind w:left="3600" w:hanging="360"/>
      </w:pPr>
      <w:rPr>
        <w:rFonts w:ascii="Courier New" w:hAnsi="Courier New"/>
      </w:rPr>
    </w:lvl>
    <w:lvl w:ilvl="5" w:tentative="0">
      <w:start w:val="1"/>
      <w:numFmt w:val="bullet"/>
      <w:lvlText w:val=""/>
      <w:lvlJc w:val="left"/>
      <w:pPr>
        <w:tabs>
          <w:tab w:val="left" w:pos="4320"/>
        </w:tabs>
        <w:ind w:left="4320" w:hanging="360"/>
      </w:pPr>
      <w:rPr>
        <w:rFonts w:ascii="Wingdings" w:hAnsi="Wingdings"/>
      </w:rPr>
    </w:lvl>
    <w:lvl w:ilvl="6" w:tentative="0">
      <w:start w:val="1"/>
      <w:numFmt w:val="bullet"/>
      <w:lvlText w:val=""/>
      <w:lvlJc w:val="left"/>
      <w:pPr>
        <w:tabs>
          <w:tab w:val="left" w:pos="5040"/>
        </w:tabs>
        <w:ind w:left="5040" w:hanging="360"/>
      </w:pPr>
      <w:rPr>
        <w:rFonts w:ascii="Symbol" w:hAnsi="Symbol"/>
      </w:rPr>
    </w:lvl>
    <w:lvl w:ilvl="7" w:tentative="0">
      <w:start w:val="1"/>
      <w:numFmt w:val="bullet"/>
      <w:lvlText w:val="o"/>
      <w:lvlJc w:val="left"/>
      <w:pPr>
        <w:tabs>
          <w:tab w:val="left" w:pos="5760"/>
        </w:tabs>
        <w:ind w:left="5760" w:hanging="360"/>
      </w:pPr>
      <w:rPr>
        <w:rFonts w:ascii="Courier New" w:hAnsi="Courier New"/>
      </w:rPr>
    </w:lvl>
    <w:lvl w:ilvl="8" w:tentative="0">
      <w:start w:val="1"/>
      <w:numFmt w:val="bullet"/>
      <w:lvlText w:val=""/>
      <w:lvlJc w:val="left"/>
      <w:pPr>
        <w:tabs>
          <w:tab w:val="left" w:pos="6480"/>
        </w:tabs>
        <w:ind w:left="6480" w:hanging="360"/>
      </w:pPr>
      <w:rPr>
        <w:rFonts w:ascii="Wingdings" w:hAnsi="Wingdings"/>
      </w:rPr>
    </w:lvl>
  </w:abstractNum>
  <w:abstractNum w:abstractNumId="2">
    <w:nsid w:val="00000004"/>
    <w:multiLevelType w:val="multilevel"/>
    <w:tmpl w:val="00000004"/>
    <w:lvl w:ilvl="0" w:tentative="0">
      <w:start w:val="1"/>
      <w:numFmt w:val="decimal"/>
      <w:lvlText w:val="%1、"/>
      <w:lvlJc w:val="left"/>
      <w:pPr>
        <w:ind w:left="0" w:firstLine="0"/>
      </w:pPr>
      <w:rPr>
        <w:rFonts w:ascii="楷体" w:hAnsi="楷体" w:eastAsia="楷体" w:cs="楷体"/>
        <w:sz w:val="32"/>
        <w:szCs w:val="32"/>
      </w:rPr>
    </w:lvl>
    <w:lvl w:ilvl="1" w:tentative="0">
      <w:start w:val="1"/>
      <w:numFmt w:val="bullet"/>
      <w:lvlText w:val="o"/>
      <w:lvlJc w:val="left"/>
      <w:pPr>
        <w:tabs>
          <w:tab w:val="left" w:pos="1440"/>
        </w:tabs>
        <w:ind w:left="1440" w:hanging="360"/>
      </w:pPr>
      <w:rPr>
        <w:rFonts w:ascii="Courier New" w:hAnsi="Courier New"/>
      </w:rPr>
    </w:lvl>
    <w:lvl w:ilvl="2" w:tentative="0">
      <w:start w:val="1"/>
      <w:numFmt w:val="bullet"/>
      <w:lvlText w:val=""/>
      <w:lvlJc w:val="left"/>
      <w:pPr>
        <w:tabs>
          <w:tab w:val="left" w:pos="2160"/>
        </w:tabs>
        <w:ind w:left="2160" w:hanging="360"/>
      </w:pPr>
      <w:rPr>
        <w:rFonts w:ascii="Wingdings" w:hAnsi="Wingdings"/>
      </w:rPr>
    </w:lvl>
    <w:lvl w:ilvl="3" w:tentative="0">
      <w:start w:val="1"/>
      <w:numFmt w:val="bullet"/>
      <w:lvlText w:val=""/>
      <w:lvlJc w:val="left"/>
      <w:pPr>
        <w:tabs>
          <w:tab w:val="left" w:pos="2880"/>
        </w:tabs>
        <w:ind w:left="2880" w:hanging="360"/>
      </w:pPr>
      <w:rPr>
        <w:rFonts w:ascii="Symbol" w:hAnsi="Symbol"/>
      </w:rPr>
    </w:lvl>
    <w:lvl w:ilvl="4" w:tentative="0">
      <w:start w:val="1"/>
      <w:numFmt w:val="bullet"/>
      <w:lvlText w:val="o"/>
      <w:lvlJc w:val="left"/>
      <w:pPr>
        <w:tabs>
          <w:tab w:val="left" w:pos="3600"/>
        </w:tabs>
        <w:ind w:left="3600" w:hanging="360"/>
      </w:pPr>
      <w:rPr>
        <w:rFonts w:ascii="Courier New" w:hAnsi="Courier New"/>
      </w:rPr>
    </w:lvl>
    <w:lvl w:ilvl="5" w:tentative="0">
      <w:start w:val="1"/>
      <w:numFmt w:val="bullet"/>
      <w:lvlText w:val=""/>
      <w:lvlJc w:val="left"/>
      <w:pPr>
        <w:tabs>
          <w:tab w:val="left" w:pos="4320"/>
        </w:tabs>
        <w:ind w:left="4320" w:hanging="360"/>
      </w:pPr>
      <w:rPr>
        <w:rFonts w:ascii="Wingdings" w:hAnsi="Wingdings"/>
      </w:rPr>
    </w:lvl>
    <w:lvl w:ilvl="6" w:tentative="0">
      <w:start w:val="1"/>
      <w:numFmt w:val="bullet"/>
      <w:lvlText w:val=""/>
      <w:lvlJc w:val="left"/>
      <w:pPr>
        <w:tabs>
          <w:tab w:val="left" w:pos="5040"/>
        </w:tabs>
        <w:ind w:left="5040" w:hanging="360"/>
      </w:pPr>
      <w:rPr>
        <w:rFonts w:ascii="Symbol" w:hAnsi="Symbol"/>
      </w:rPr>
    </w:lvl>
    <w:lvl w:ilvl="7" w:tentative="0">
      <w:start w:val="1"/>
      <w:numFmt w:val="bullet"/>
      <w:lvlText w:val="o"/>
      <w:lvlJc w:val="left"/>
      <w:pPr>
        <w:tabs>
          <w:tab w:val="left" w:pos="5760"/>
        </w:tabs>
        <w:ind w:left="5760" w:hanging="360"/>
      </w:pPr>
      <w:rPr>
        <w:rFonts w:ascii="Courier New" w:hAnsi="Courier New"/>
      </w:rPr>
    </w:lvl>
    <w:lvl w:ilvl="8" w:tentative="0">
      <w:start w:val="1"/>
      <w:numFmt w:val="bullet"/>
      <w:lvlText w:val=""/>
      <w:lvlJc w:val="left"/>
      <w:pPr>
        <w:tabs>
          <w:tab w:val="left" w:pos="6480"/>
        </w:tabs>
        <w:ind w:left="6480" w:hanging="360"/>
      </w:pPr>
      <w:rPr>
        <w:rFonts w:ascii="Wingdings" w:hAnsi="Wingdings"/>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view w:val="normal"/>
  <w:zoom w:percent="110"/>
  <w:bordersDoNotSurroundHeader w:val="0"/>
  <w:bordersDoNotSurroundFooter w:val="0"/>
  <w:documentProtection w:enforcement="0"/>
  <w:defaultTabStop w:val="720"/>
  <w:displayHorizontalDrawingGridEvery w:val="1"/>
  <w:displayVerticalDrawingGridEvery w:val="1"/>
  <w:noPunctuationKerning w:val="1"/>
  <w:characterSpacingControl w:val="doNotCompress"/>
  <w:compat>
    <w:doNotExpandShiftReturn/>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000"/>
    <w:rsid w:val="03236715"/>
    <w:rsid w:val="0F982602"/>
    <w:rsid w:val="146E09E9"/>
    <w:rsid w:val="179D4763"/>
    <w:rsid w:val="187F7119"/>
    <w:rsid w:val="1AA708AE"/>
    <w:rsid w:val="2613254D"/>
    <w:rsid w:val="2F4C4837"/>
    <w:rsid w:val="3C080AF1"/>
    <w:rsid w:val="41C763C5"/>
    <w:rsid w:val="6BD73BC2"/>
    <w:rsid w:val="6F62639E"/>
    <w:rsid w:val="73CA7EA6"/>
    <w:rsid w:val="778F680E"/>
    <w:rsid w:val="77ED7058"/>
    <w:rsid w:val="7CAC2AD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nhideWhenUsed="0" w:uiPriority="9" w:semiHidden="0" w:name="heading 3"/>
    <w:lsdException w:qFormat="1" w:unhideWhenUsed="0" w:uiPriority="9" w:semiHidden="0" w:name="heading 4"/>
    <w:lsdException w:qFormat="1" w:unhideWhenUsed="0" w:uiPriority="9" w:semiHidden="0" w:name="heading 5"/>
    <w:lsdException w:qFormat="1" w:unhideWhenUsed="0" w:uiPriority="9" w:semiHidden="0"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nhideWhenUsed="0" w:uiPriority="99"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nhideWhenUsed="0" w:uiPriority="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Calibri" w:cs="Calibri"/>
      <w:sz w:val="21"/>
      <w:szCs w:val="21"/>
      <w:lang w:val="en-US" w:eastAsia="en-US" w:bidi="ar-SA"/>
    </w:rPr>
  </w:style>
  <w:style w:type="paragraph" w:styleId="2">
    <w:name w:val="heading 1"/>
    <w:basedOn w:val="1"/>
    <w:next w:val="1"/>
    <w:link w:val="11"/>
    <w:qFormat/>
    <w:uiPriority w:val="9"/>
    <w:pPr>
      <w:keepNext/>
      <w:keepLines/>
      <w:spacing w:before="240" w:after="0"/>
      <w:outlineLvl w:val="0"/>
    </w:pPr>
    <w:rPr>
      <w:rFonts w:ascii="Times New Roman" w:hAnsi="Times New Roman" w:eastAsia="Times New Roman" w:cs="Times New Roman"/>
      <w:b/>
      <w:bCs/>
      <w:color w:val="2F5496"/>
      <w:kern w:val="36"/>
      <w:sz w:val="48"/>
      <w:szCs w:val="48"/>
    </w:rPr>
  </w:style>
  <w:style w:type="paragraph" w:styleId="3">
    <w:name w:val="heading 2"/>
    <w:basedOn w:val="1"/>
    <w:next w:val="1"/>
    <w:link w:val="12"/>
    <w:qFormat/>
    <w:uiPriority w:val="9"/>
    <w:pPr>
      <w:keepNext/>
      <w:keepLines/>
      <w:spacing w:before="40" w:after="0"/>
      <w:outlineLvl w:val="1"/>
    </w:pPr>
    <w:rPr>
      <w:rFonts w:ascii="Times New Roman" w:hAnsi="Times New Roman" w:eastAsia="Times New Roman" w:cs="Times New Roman"/>
      <w:b/>
      <w:bCs/>
      <w:color w:val="2F5496"/>
      <w:sz w:val="36"/>
      <w:szCs w:val="36"/>
    </w:rPr>
  </w:style>
  <w:style w:type="paragraph" w:styleId="4">
    <w:name w:val="heading 3"/>
    <w:basedOn w:val="1"/>
    <w:next w:val="1"/>
    <w:link w:val="13"/>
    <w:qFormat/>
    <w:uiPriority w:val="9"/>
    <w:pPr>
      <w:keepNext/>
      <w:keepLines/>
      <w:spacing w:before="40" w:after="0"/>
      <w:outlineLvl w:val="2"/>
    </w:pPr>
    <w:rPr>
      <w:rFonts w:ascii="Times New Roman" w:hAnsi="Times New Roman" w:eastAsia="Times New Roman" w:cs="Times New Roman"/>
      <w:b/>
      <w:bCs/>
      <w:color w:val="1F3763"/>
      <w:sz w:val="28"/>
      <w:szCs w:val="28"/>
    </w:rPr>
  </w:style>
  <w:style w:type="paragraph" w:styleId="5">
    <w:name w:val="heading 4"/>
    <w:basedOn w:val="1"/>
    <w:next w:val="1"/>
    <w:link w:val="14"/>
    <w:qFormat/>
    <w:uiPriority w:val="9"/>
    <w:pPr>
      <w:keepNext/>
      <w:keepLines/>
      <w:spacing w:before="40" w:after="0"/>
      <w:outlineLvl w:val="3"/>
    </w:pPr>
    <w:rPr>
      <w:rFonts w:ascii="Times New Roman" w:hAnsi="Times New Roman" w:eastAsia="Times New Roman" w:cs="Times New Roman"/>
      <w:b/>
      <w:bCs/>
      <w:iCs/>
      <w:color w:val="2F5496"/>
      <w:sz w:val="24"/>
      <w:szCs w:val="24"/>
    </w:rPr>
  </w:style>
  <w:style w:type="paragraph" w:styleId="6">
    <w:name w:val="heading 5"/>
    <w:basedOn w:val="1"/>
    <w:next w:val="1"/>
    <w:link w:val="15"/>
    <w:qFormat/>
    <w:uiPriority w:val="9"/>
    <w:pPr>
      <w:keepNext/>
      <w:keepLines/>
      <w:spacing w:before="40" w:after="0"/>
      <w:outlineLvl w:val="4"/>
    </w:pPr>
    <w:rPr>
      <w:rFonts w:ascii="Times New Roman" w:hAnsi="Times New Roman" w:eastAsia="Times New Roman" w:cs="Times New Roman"/>
      <w:b/>
      <w:bCs/>
      <w:color w:val="2F5496"/>
      <w:sz w:val="20"/>
      <w:szCs w:val="20"/>
    </w:rPr>
  </w:style>
  <w:style w:type="paragraph" w:styleId="7">
    <w:name w:val="heading 6"/>
    <w:basedOn w:val="1"/>
    <w:next w:val="1"/>
    <w:link w:val="16"/>
    <w:qFormat/>
    <w:uiPriority w:val="9"/>
    <w:pPr>
      <w:keepNext/>
      <w:keepLines/>
      <w:spacing w:before="40" w:after="0"/>
      <w:outlineLvl w:val="5"/>
    </w:pPr>
    <w:rPr>
      <w:rFonts w:ascii="Times New Roman" w:hAnsi="Times New Roman" w:eastAsia="Times New Roman" w:cs="Times New Roman"/>
      <w:b/>
      <w:bCs/>
      <w:color w:val="1F3763"/>
      <w:sz w:val="16"/>
      <w:szCs w:val="16"/>
    </w:rPr>
  </w:style>
  <w:style w:type="character" w:default="1" w:styleId="9">
    <w:name w:val="Default Paragraph Font"/>
    <w:semiHidden/>
    <w:qFormat/>
    <w:uiPriority w:val="0"/>
  </w:style>
  <w:style w:type="table" w:default="1" w:styleId="8">
    <w:name w:val="Normal Table"/>
    <w:semiHidden/>
    <w:unhideWhenUsed/>
    <w:qFormat/>
    <w:uiPriority w:val="99"/>
    <w:tblPr>
      <w:tblCellMar>
        <w:top w:w="0" w:type="dxa"/>
        <w:left w:w="108" w:type="dxa"/>
        <w:bottom w:w="0" w:type="dxa"/>
        <w:right w:w="108" w:type="dxa"/>
      </w:tblCellMar>
    </w:tblPr>
  </w:style>
  <w:style w:type="character" w:styleId="10">
    <w:name w:val="annotation reference"/>
    <w:basedOn w:val="9"/>
    <w:qFormat/>
    <w:uiPriority w:val="99"/>
    <w:rPr>
      <w:sz w:val="16"/>
      <w:szCs w:val="16"/>
    </w:rPr>
  </w:style>
  <w:style w:type="character" w:customStyle="1" w:styleId="11">
    <w:name w:val="Heading 1 Char"/>
    <w:basedOn w:val="9"/>
    <w:link w:val="2"/>
    <w:qFormat/>
    <w:uiPriority w:val="9"/>
    <w:rPr>
      <w:rFonts w:ascii="Calibri Light" w:hAnsi="Calibri Light" w:eastAsia="Times New Roman" w:cs="Times New Roman"/>
      <w:color w:val="2F5496"/>
      <w:sz w:val="32"/>
      <w:szCs w:val="32"/>
    </w:rPr>
  </w:style>
  <w:style w:type="character" w:customStyle="1" w:styleId="12">
    <w:name w:val="Heading 2 Char"/>
    <w:basedOn w:val="9"/>
    <w:link w:val="3"/>
    <w:qFormat/>
    <w:uiPriority w:val="9"/>
    <w:rPr>
      <w:rFonts w:ascii="Calibri Light" w:hAnsi="Calibri Light" w:eastAsia="Times New Roman" w:cs="Times New Roman"/>
      <w:color w:val="2F5496"/>
      <w:sz w:val="26"/>
      <w:szCs w:val="26"/>
    </w:rPr>
  </w:style>
  <w:style w:type="character" w:customStyle="1" w:styleId="13">
    <w:name w:val="Heading 3 Char"/>
    <w:basedOn w:val="9"/>
    <w:link w:val="4"/>
    <w:qFormat/>
    <w:uiPriority w:val="9"/>
    <w:rPr>
      <w:rFonts w:ascii="Calibri Light" w:hAnsi="Calibri Light" w:eastAsia="Times New Roman" w:cs="Times New Roman"/>
      <w:color w:val="1F3763"/>
      <w:sz w:val="24"/>
      <w:szCs w:val="24"/>
    </w:rPr>
  </w:style>
  <w:style w:type="character" w:customStyle="1" w:styleId="14">
    <w:name w:val="Heading 4 Char"/>
    <w:basedOn w:val="9"/>
    <w:link w:val="5"/>
    <w:qFormat/>
    <w:uiPriority w:val="9"/>
    <w:rPr>
      <w:rFonts w:ascii="Calibri Light" w:hAnsi="Calibri Light" w:eastAsia="Times New Roman" w:cs="Times New Roman"/>
      <w:i/>
      <w:iCs/>
      <w:color w:val="2F5496"/>
    </w:rPr>
  </w:style>
  <w:style w:type="character" w:customStyle="1" w:styleId="15">
    <w:name w:val="Heading 5 Char"/>
    <w:basedOn w:val="9"/>
    <w:link w:val="6"/>
    <w:qFormat/>
    <w:uiPriority w:val="9"/>
    <w:rPr>
      <w:rFonts w:ascii="Calibri Light" w:hAnsi="Calibri Light" w:eastAsia="Times New Roman" w:cs="Times New Roman"/>
      <w:color w:val="2F5496"/>
    </w:rPr>
  </w:style>
  <w:style w:type="character" w:customStyle="1" w:styleId="16">
    <w:name w:val="Heading 6 Char"/>
    <w:basedOn w:val="9"/>
    <w:link w:val="7"/>
    <w:qFormat/>
    <w:uiPriority w:val="9"/>
    <w:rPr>
      <w:rFonts w:ascii="Calibri Light" w:hAnsi="Calibri Light" w:eastAsia="Times New Roman" w:cs="Times New Roman"/>
      <w:color w:val="1F3763"/>
    </w:rPr>
  </w:style>
  <w:style w:type="character" w:customStyle="1" w:styleId="17">
    <w:name w:val="contractReviewCommentRevision_e26873c08daf4ba9b285301428e59f3e"/>
    <w:basedOn w:val="9"/>
    <w:qFormat/>
    <w:uiPriority w:val="0"/>
  </w:style>
  <w:style w:type="character" w:customStyle="1" w:styleId="18">
    <w:name w:val="contractReviewCommentRevision_5f719ded698045ba946392e2f854ce42"/>
    <w:basedOn w:val="9"/>
    <w:qFormat/>
    <w:uiPriority w:val="0"/>
  </w:style>
  <w:style w:type="character" w:customStyle="1" w:styleId="19">
    <w:name w:val="contractReviewCommentRevision_816860a46d10428d90f4934152ff8139"/>
    <w:basedOn w:val="9"/>
    <w:qFormat/>
    <w:uiPriority w:val="0"/>
  </w:style>
  <w:style w:type="character" w:customStyle="1" w:styleId="20">
    <w:name w:val="contractReviewCommentRevision_28abd4f2e8e74703870f74cff2a01e1e"/>
    <w:basedOn w:val="9"/>
    <w:qFormat/>
    <w:uiPriority w:val="0"/>
  </w:style>
  <w:style w:type="character" w:customStyle="1" w:styleId="21">
    <w:name w:val="contractReviewCommentRevision_b3be594c16234cb5a15326dd94d40f01"/>
    <w:basedOn w:val="9"/>
    <w:qFormat/>
    <w:uiPriority w:val="0"/>
  </w:style>
  <w:style w:type="character" w:customStyle="1" w:styleId="22">
    <w:name w:val="contractReviewCommentRevision_3aa46ef8861b4b46b1c9db674ca09b29"/>
    <w:basedOn w:val="9"/>
    <w:qFormat/>
    <w:uiPriority w:val="0"/>
  </w:style>
  <w:style w:type="character" w:customStyle="1" w:styleId="23">
    <w:name w:val="contractReviewCommentRevision_60eb6ccb18a54832b78862a0dc142b40"/>
    <w:basedOn w:val="9"/>
    <w:qFormat/>
    <w:uiPriority w:val="0"/>
  </w:style>
  <w:style w:type="character" w:customStyle="1" w:styleId="24">
    <w:name w:val="contractReviewCommentRevision_39c6cb9f4df045c6909e33293c9ccfb3"/>
    <w:basedOn w:val="9"/>
    <w:qFormat/>
    <w:uiPriority w:val="0"/>
  </w:style>
  <w:style w:type="character" w:customStyle="1" w:styleId="25">
    <w:name w:val="contractReviewCommentRevision_7f17471bbdc64cefa87120ff79f55f13"/>
    <w:basedOn w:val="9"/>
    <w:qFormat/>
    <w:uiPriority w:val="0"/>
  </w:style>
  <w:style w:type="character" w:customStyle="1" w:styleId="26">
    <w:name w:val="contractReviewCommentRevision_e39658bc9e7b48a488757ee2588f1513"/>
    <w:basedOn w:val="9"/>
    <w:qFormat/>
    <w:uiPriority w:val="0"/>
  </w:style>
  <w:style w:type="character" w:customStyle="1" w:styleId="27">
    <w:name w:val="contractReviewCommentRevision_39f9cebd1e7041ec97d9e3787733b37d"/>
    <w:basedOn w:val="9"/>
    <w:qFormat/>
    <w:uiPriority w:val="0"/>
  </w:style>
  <w:style w:type="character" w:customStyle="1" w:styleId="28">
    <w:name w:val="contractReviewCommentRevision_38084b974ee646c3acf6a4188858d4b3"/>
    <w:basedOn w:val="9"/>
    <w:qFormat/>
    <w:uiPriority w:val="0"/>
  </w:style>
  <w:style w:type="character" w:customStyle="1" w:styleId="29">
    <w:name w:val="contractReviewCommentRevision_b9a720da40524c2c9f635ebdd3827358"/>
    <w:basedOn w:val="9"/>
    <w:qFormat/>
    <w:uiPriority w:val="0"/>
  </w:style>
  <w:style w:type="character" w:customStyle="1" w:styleId="30">
    <w:name w:val="contractReviewCommentRevision_5fe934bef31a457d83c4f63c0f635797"/>
    <w:basedOn w:val="9"/>
    <w:qFormat/>
    <w:uiPriority w:val="0"/>
  </w:style>
  <w:style w:type="character" w:customStyle="1" w:styleId="31">
    <w:name w:val="contractReviewCommentRevision_8f0adb6e381e43f7a6c4d6e0d200759f"/>
    <w:basedOn w:val="9"/>
    <w:qFormat/>
    <w:uiPriority w:val="0"/>
  </w:style>
  <w:style w:type="character" w:customStyle="1" w:styleId="32">
    <w:name w:val="contractReviewCommentRevision_5af7436dcf564f5d9ffca0f7ddeeed31"/>
    <w:basedOn w:val="9"/>
    <w:qFormat/>
    <w:uiPriority w:val="0"/>
  </w:style>
  <w:style w:type="character" w:customStyle="1" w:styleId="33">
    <w:name w:val="contractReviewCommentRevision_17fe045fd2a6494989b1255780216a04"/>
    <w:basedOn w:val="9"/>
    <w:qFormat/>
    <w:uiPriority w:val="0"/>
  </w:style>
  <w:style w:type="character" w:customStyle="1" w:styleId="34">
    <w:name w:val="contractReviewCommentRevision_b451cef8ec5d4402a3061773d2ed27da"/>
    <w:basedOn w:val="9"/>
    <w:qFormat/>
    <w:uiPriority w:val="0"/>
  </w:style>
  <w:style w:type="character" w:customStyle="1" w:styleId="35">
    <w:name w:val="contractReviewCommentRevision_d9469a15d0154c07ace5709d6ed0a99b"/>
    <w:basedOn w:val="9"/>
    <w:qFormat/>
    <w:uiPriority w:val="0"/>
  </w:style>
  <w:style w:type="character" w:customStyle="1" w:styleId="36">
    <w:name w:val="contractReviewCommentRevision_2327fd3df78d46f89b4cb75d045310b4"/>
    <w:basedOn w:val="9"/>
    <w:qFormat/>
    <w:uiPriority w:val="0"/>
  </w:style>
  <w:style w:type="character" w:customStyle="1" w:styleId="37">
    <w:name w:val="contractReviewCommentRevision_11040a809eac4e12bed8ba7cb02b8ac3"/>
    <w:basedOn w:val="9"/>
    <w:qFormat/>
    <w:uiPriority w:val="0"/>
  </w:style>
  <w:style w:type="character" w:customStyle="1" w:styleId="38">
    <w:name w:val="contractReviewCommentRevision_627dafc2f2c64a9eba5901e06d4105ad"/>
    <w:basedOn w:val="9"/>
    <w:qFormat/>
    <w:uiPriority w:val="0"/>
  </w:style>
  <w:style w:type="character" w:customStyle="1" w:styleId="39">
    <w:name w:val="contractReviewCommentRevision_118ebd6b1a64460fb684a8a7a8722f6b"/>
    <w:basedOn w:val="9"/>
    <w:qFormat/>
    <w:uiPriority w:val="0"/>
  </w:style>
  <w:style w:type="character" w:customStyle="1" w:styleId="40">
    <w:name w:val="contractReviewCommentRevision_2b6edea0b11b48848ee7c92ad081b3df"/>
    <w:basedOn w:val="9"/>
    <w:qFormat/>
    <w:uiPriority w:val="0"/>
  </w:style>
  <w:style w:type="character" w:customStyle="1" w:styleId="41">
    <w:name w:val="contractReviewCommentRevision_0d27a0bd6c7b40d297623b0b3bea7e8e"/>
    <w:basedOn w:val="9"/>
    <w:qFormat/>
    <w:uiPriority w:val="0"/>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Pages>
  <Words>1862</Words>
  <Characters>1940</Characters>
  <Lines>0</Lines>
  <Paragraphs>0</Paragraphs>
  <TotalTime>7</TotalTime>
  <ScaleCrop>false</ScaleCrop>
  <LinksUpToDate>false</LinksUpToDate>
  <CharactersWithSpaces>2100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2025-06-24T05:50:00Z</dcterms:created>
  <dc:creator>谭谭</dc:creator>
  <cp:lastModifiedBy>马星星</cp:lastModifiedBy>
  <dcterms:modified xsi:type="dcterms:W3CDTF">2026-05-12T08:30:03Z</dcterms:modified>
  <cp:revision>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eyJoZGlkIjoiZTQyNTg5ZGM5NTJiMjI3MGVmN2UzMGI4ODVkNTA4M2MiLCJ1c2VySWQiOiIyODY1MDQ3NzUifQ==</vt:lpwstr>
  </property>
  <property fmtid="{D5CDD505-2E9C-101B-9397-08002B2CF9AE}" pid="3" name="KSOProductBuildVer">
    <vt:lpwstr>2052-12.1.0.26375</vt:lpwstr>
  </property>
  <property fmtid="{D5CDD505-2E9C-101B-9397-08002B2CF9AE}" pid="4" name="ICV">
    <vt:lpwstr>4D112A7C156C4C0093CC843E95B390AF_13</vt:lpwstr>
  </property>
</Properties>
</file>