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EFF563">
      <w:pPr>
        <w:jc w:val="center"/>
        <w:rPr>
          <w:rFonts w:ascii="Times New Roman" w:hAnsi="Times New Roman" w:eastAsia="方正小标宋_GBK"/>
          <w:bCs/>
          <w:sz w:val="44"/>
          <w:szCs w:val="44"/>
        </w:rPr>
      </w:pPr>
      <w:bookmarkStart w:id="0" w:name="_Hlk190787849"/>
      <w:r>
        <w:rPr>
          <w:rFonts w:ascii="Times New Roman" w:hAnsi="Times New Roman" w:eastAsia="方正小标宋_GBK"/>
          <w:bCs/>
          <w:sz w:val="44"/>
          <w:szCs w:val="44"/>
        </w:rPr>
        <w:t>购销合作权利合同（以销竞采）</w:t>
      </w:r>
    </w:p>
    <w:bookmarkEnd w:id="0"/>
    <w:p w14:paraId="42ACC114">
      <w:pPr>
        <w:pStyle w:val="11"/>
        <w:autoSpaceDE w:val="0"/>
        <w:autoSpaceDN w:val="0"/>
        <w:spacing w:line="560" w:lineRule="exact"/>
        <w:ind w:right="160" w:firstLine="5280" w:firstLineChars="2200"/>
        <w:rPr>
          <w:rFonts w:ascii="Times New Roman" w:hAnsi="Times New Roman" w:eastAsia="方正仿宋_GBK"/>
          <w:sz w:val="30"/>
          <w:szCs w:val="30"/>
          <w:u w:val="single"/>
        </w:rPr>
      </w:pPr>
      <w:r>
        <w:rPr>
          <w:rFonts w:ascii="Times New Roman" w:hAnsi="Times New Roman" w:eastAsia="仿宋"/>
        </w:rPr>
        <w:t>合同编号：</w:t>
      </w:r>
      <w:r>
        <w:rPr>
          <w:rFonts w:hint="eastAsia" w:ascii="Times New Roman" w:hAnsi="Times New Roman" w:eastAsia="仿宋"/>
        </w:rPr>
        <w:t>PKLSGX</w:t>
      </w:r>
      <w:r>
        <w:rPr>
          <w:rFonts w:hint="eastAsia" w:ascii="Times New Roman" w:hAnsi="Times New Roman" w:eastAsia="方正仿宋_GBK"/>
          <w:sz w:val="30"/>
          <w:szCs w:val="30"/>
          <w:u w:val="single"/>
          <w:lang w:val="en-US" w:eastAsia="zh-CN"/>
        </w:rPr>
        <w:t xml:space="preserve"> 2026</w:t>
      </w:r>
      <w:r>
        <w:rPr>
          <w:rFonts w:hint="eastAsia" w:ascii="Times New Roman" w:hAnsi="Times New Roman" w:eastAsia="方正仿宋_GBK"/>
          <w:sz w:val="30"/>
          <w:szCs w:val="30"/>
          <w:u w:val="single"/>
        </w:rPr>
        <w:t>xxxx</w:t>
      </w:r>
      <w:r>
        <w:rPr>
          <w:rFonts w:hint="eastAsia" w:ascii="Times New Roman" w:hAnsi="Times New Roman" w:eastAsia="方正仿宋_GBK"/>
          <w:sz w:val="30"/>
          <w:szCs w:val="30"/>
          <w:u w:val="single"/>
          <w:lang w:val="en-US" w:eastAsia="zh-CN"/>
        </w:rPr>
        <w:t xml:space="preserve">  </w:t>
      </w:r>
      <w:r>
        <w:rPr>
          <w:rFonts w:ascii="Times New Roman" w:hAnsi="Times New Roman" w:eastAsia="方正仿宋_GBK"/>
          <w:sz w:val="30"/>
          <w:szCs w:val="30"/>
          <w:u w:val="single"/>
        </w:rPr>
        <w:t xml:space="preserve"> </w:t>
      </w:r>
    </w:p>
    <w:p w14:paraId="2B818C52">
      <w:pPr>
        <w:pStyle w:val="11"/>
        <w:keepNext w:val="0"/>
        <w:keepLines w:val="0"/>
        <w:pageBreakBefore w:val="0"/>
        <w:widowControl w:val="0"/>
        <w:kinsoku/>
        <w:wordWrap/>
        <w:overflowPunct/>
        <w:topLinePunct w:val="0"/>
        <w:autoSpaceDE w:val="0"/>
        <w:autoSpaceDN w:val="0"/>
        <w:bidi w:val="0"/>
        <w:adjustRightInd/>
        <w:snapToGrid/>
        <w:spacing w:after="157" w:afterLines="50" w:line="560" w:lineRule="exact"/>
        <w:ind w:right="159" w:firstLine="5280" w:firstLineChars="2200"/>
        <w:textAlignment w:val="auto"/>
        <w:rPr>
          <w:rFonts w:ascii="Times New Roman" w:hAnsi="Times New Roman" w:eastAsia="仿宋"/>
        </w:rPr>
      </w:pPr>
      <w:r>
        <w:rPr>
          <w:rFonts w:ascii="Times New Roman" w:hAnsi="Times New Roman" w:eastAsia="仿宋"/>
        </w:rPr>
        <w:t>签订地点：南京浦口</w:t>
      </w:r>
    </w:p>
    <w:p w14:paraId="0F278E95">
      <w:pPr>
        <w:spacing w:line="54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甲方 ：</w:t>
      </w:r>
      <w:bookmarkStart w:id="1" w:name="_Hlk190787869"/>
      <w:r>
        <w:rPr>
          <w:rFonts w:hint="eastAsia" w:ascii="仿宋" w:hAnsi="仿宋" w:eastAsia="仿宋" w:cs="仿宋"/>
          <w:sz w:val="30"/>
          <w:szCs w:val="30"/>
          <w:u w:val="single"/>
        </w:rPr>
        <w:t>南京市浦口区粮食购销有限公司</w:t>
      </w:r>
      <w:bookmarkEnd w:id="1"/>
      <w:r>
        <w:rPr>
          <w:rFonts w:hint="eastAsia" w:ascii="仿宋" w:hAnsi="仿宋" w:eastAsia="仿宋" w:cs="仿宋"/>
          <w:sz w:val="30"/>
          <w:szCs w:val="30"/>
        </w:rPr>
        <w:t xml:space="preserve">    （以下简称甲方） </w:t>
      </w:r>
    </w:p>
    <w:p w14:paraId="01C76A15">
      <w:pPr>
        <w:pStyle w:val="11"/>
        <w:wordWrap w:val="0"/>
        <w:autoSpaceDE w:val="0"/>
        <w:autoSpaceDN w:val="0"/>
        <w:spacing w:line="560" w:lineRule="exact"/>
        <w:ind w:right="261" w:firstLine="600" w:firstLineChars="200"/>
        <w:rPr>
          <w:rFonts w:hint="eastAsia" w:ascii="仿宋" w:hAnsi="仿宋" w:eastAsia="仿宋" w:cs="仿宋"/>
          <w:sz w:val="30"/>
          <w:szCs w:val="30"/>
        </w:rPr>
      </w:pPr>
      <w:r>
        <w:rPr>
          <w:rFonts w:hint="eastAsia" w:ascii="仿宋" w:hAnsi="仿宋" w:eastAsia="仿宋" w:cs="仿宋"/>
          <w:sz w:val="30"/>
          <w:szCs w:val="30"/>
        </w:rPr>
        <w:t>乙方 ：</w:t>
      </w:r>
      <w:r>
        <w:rPr>
          <w:rFonts w:hint="eastAsia" w:ascii="仿宋" w:hAnsi="仿宋" w:eastAsia="仿宋" w:cs="仿宋"/>
          <w:sz w:val="30"/>
          <w:szCs w:val="30"/>
          <w:u w:val="single"/>
        </w:rPr>
        <w:t xml:space="preserve">                             </w:t>
      </w:r>
      <w:r>
        <w:rPr>
          <w:rFonts w:hint="eastAsia" w:ascii="仿宋" w:hAnsi="仿宋" w:eastAsia="仿宋" w:cs="仿宋"/>
          <w:sz w:val="30"/>
          <w:szCs w:val="30"/>
        </w:rPr>
        <w:t xml:space="preserve">  （以下简称乙方）   </w:t>
      </w:r>
    </w:p>
    <w:p w14:paraId="521E9132">
      <w:pPr>
        <w:pStyle w:val="11"/>
        <w:wordWrap w:val="0"/>
        <w:autoSpaceDE w:val="0"/>
        <w:autoSpaceDN w:val="0"/>
        <w:spacing w:line="580" w:lineRule="exact"/>
        <w:ind w:right="261" w:firstLine="600" w:firstLineChars="200"/>
        <w:rPr>
          <w:rFonts w:ascii="Times New Roman" w:hAnsi="Times New Roman" w:eastAsia="方正仿宋_GBK"/>
          <w:sz w:val="30"/>
          <w:szCs w:val="30"/>
        </w:rPr>
      </w:pPr>
      <w:r>
        <w:rPr>
          <w:rFonts w:ascii="Times New Roman" w:hAnsi="Times New Roman" w:eastAsia="方正仿宋_GBK"/>
          <w:sz w:val="30"/>
          <w:szCs w:val="30"/>
        </w:rPr>
        <w:t>为充分发挥各自优势，合理配置粮源，依据江苏粮油商品交易市场202</w:t>
      </w:r>
      <w:r>
        <w:rPr>
          <w:rFonts w:hint="eastAsia" w:ascii="Times New Roman" w:hAnsi="Times New Roman" w:eastAsia="方正仿宋_GBK"/>
          <w:sz w:val="30"/>
          <w:szCs w:val="30"/>
          <w:lang w:val="en-US" w:eastAsia="zh-CN"/>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1</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27</w:t>
      </w:r>
      <w:r>
        <w:rPr>
          <w:rFonts w:ascii="Times New Roman" w:hAnsi="Times New Roman" w:eastAsia="方正仿宋_GBK"/>
          <w:sz w:val="30"/>
          <w:szCs w:val="30"/>
        </w:rPr>
        <w:t>日竞价结果，就乙方根据甲方的出库时间要求负责全部销售202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 xml:space="preserve"> </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吨，并在规定的时间内甲方收购乙方组织的202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吨，遵循先执行合同销售条款再执行合同采购条款双方达成协议：</w:t>
      </w:r>
    </w:p>
    <w:p w14:paraId="1E0D6B1C">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一、</w:t>
      </w:r>
      <w:r>
        <w:rPr>
          <w:rFonts w:ascii="Times New Roman" w:hAnsi="Times New Roman" w:eastAsia="方正黑体_GBK"/>
          <w:sz w:val="30"/>
          <w:szCs w:val="30"/>
        </w:rPr>
        <w:t>销售事宜</w:t>
      </w:r>
    </w:p>
    <w:p w14:paraId="25589BFF">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1、销售数量：</w:t>
      </w:r>
      <w:r>
        <w:rPr>
          <w:rFonts w:ascii="Times New Roman" w:hAnsi="Times New Roman" w:eastAsia="方正仿宋_GBK"/>
          <w:sz w:val="30"/>
          <w:szCs w:val="30"/>
        </w:rPr>
        <w:t>乙方销售甲方202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吨，储存地点位于甲方所属</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号仓</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hint="eastAsia" w:ascii="Times New Roman" w:hAnsi="Times New Roman" w:eastAsia="方正仿宋_GBK"/>
          <w:sz w:val="30"/>
          <w:szCs w:val="30"/>
        </w:rPr>
        <w:t>吨</w:t>
      </w:r>
      <w:r>
        <w:rPr>
          <w:rFonts w:ascii="Times New Roman" w:hAnsi="Times New Roman" w:eastAsia="方正仿宋_GBK"/>
          <w:sz w:val="30"/>
          <w:szCs w:val="30"/>
        </w:rPr>
        <w:t>，具体销售数量以实际出库数量为准。</w:t>
      </w:r>
    </w:p>
    <w:p w14:paraId="77E5292D">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w:t>
      </w:r>
      <w:r>
        <w:rPr>
          <w:rFonts w:hint="eastAsia" w:ascii="Times New Roman" w:hAnsi="Times New Roman" w:eastAsia="方正楷体_GBK"/>
          <w:sz w:val="30"/>
          <w:szCs w:val="30"/>
        </w:rPr>
        <w:t>、</w:t>
      </w:r>
      <w:r>
        <w:rPr>
          <w:rFonts w:ascii="Times New Roman" w:hAnsi="Times New Roman" w:eastAsia="方正楷体_GBK"/>
          <w:sz w:val="30"/>
          <w:szCs w:val="30"/>
        </w:rPr>
        <w:t>销售价格</w:t>
      </w:r>
      <w:r>
        <w:rPr>
          <w:rFonts w:ascii="Times New Roman" w:hAnsi="Times New Roman" w:eastAsia="方正仿宋_GBK"/>
          <w:sz w:val="30"/>
          <w:szCs w:val="30"/>
        </w:rPr>
        <w:t>：固定出库价</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元/吨。</w:t>
      </w:r>
    </w:p>
    <w:p w14:paraId="1674DB53">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3、销售时间：</w:t>
      </w:r>
      <w:r>
        <w:rPr>
          <w:rFonts w:hint="eastAsia" w:ascii="Times New Roman" w:hAnsi="Times New Roman" w:eastAsia="方正仿宋_GBK"/>
          <w:sz w:val="30"/>
          <w:szCs w:val="30"/>
        </w:rPr>
        <w:t>约定</w:t>
      </w:r>
      <w:r>
        <w:rPr>
          <w:rFonts w:ascii="Times New Roman" w:hAnsi="Times New Roman" w:eastAsia="方正仿宋_GBK"/>
          <w:sz w:val="30"/>
          <w:szCs w:val="30"/>
        </w:rPr>
        <w:t>从202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月</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日</w:t>
      </w:r>
      <w:r>
        <w:rPr>
          <w:rFonts w:hint="eastAsia" w:ascii="Times New Roman" w:hAnsi="Times New Roman" w:eastAsia="方正仿宋_GBK"/>
          <w:sz w:val="30"/>
          <w:szCs w:val="30"/>
        </w:rPr>
        <w:t>起</w:t>
      </w:r>
      <w:r>
        <w:rPr>
          <w:rFonts w:hint="eastAsia" w:ascii="Times New Roman" w:hAnsi="Times New Roman" w:eastAsia="方正仿宋_GBK"/>
          <w:sz w:val="30"/>
          <w:szCs w:val="30"/>
          <w:lang w:val="en-US" w:eastAsia="zh-CN"/>
        </w:rPr>
        <w:t>至5</w:t>
      </w:r>
      <w:r>
        <w:rPr>
          <w:rFonts w:hint="eastAsia" w:ascii="Times New Roman" w:hAnsi="Times New Roman" w:eastAsia="方正仿宋_GBK"/>
          <w:sz w:val="30"/>
          <w:szCs w:val="30"/>
        </w:rPr>
        <w:t>月</w:t>
      </w:r>
      <w:r>
        <w:rPr>
          <w:rFonts w:hint="eastAsia" w:ascii="Times New Roman" w:hAnsi="Times New Roman" w:eastAsia="方正仿宋_GBK"/>
          <w:sz w:val="30"/>
          <w:szCs w:val="30"/>
          <w:lang w:val="en-US" w:eastAsia="zh-CN"/>
        </w:rPr>
        <w:t>20</w:t>
      </w:r>
      <w:r>
        <w:rPr>
          <w:rFonts w:hint="eastAsia" w:ascii="Times New Roman" w:hAnsi="Times New Roman" w:eastAsia="方正仿宋_GBK"/>
          <w:sz w:val="30"/>
          <w:szCs w:val="30"/>
        </w:rPr>
        <w:t>日</w:t>
      </w:r>
      <w:r>
        <w:rPr>
          <w:rFonts w:ascii="Times New Roman" w:hAnsi="Times New Roman" w:eastAsia="方正仿宋_GBK"/>
          <w:sz w:val="30"/>
          <w:szCs w:val="30"/>
        </w:rPr>
        <w:t>前出库完毕。（乙方需提前向甲方提出出库申请，待甲方上报属地粮食行政管理部门批准后</w:t>
      </w:r>
      <w:r>
        <w:rPr>
          <w:rFonts w:hint="eastAsia" w:ascii="Times New Roman" w:hAnsi="Times New Roman" w:eastAsia="方正仿宋_GBK"/>
          <w:sz w:val="30"/>
          <w:szCs w:val="30"/>
        </w:rPr>
        <w:t>，</w:t>
      </w:r>
      <w:r>
        <w:rPr>
          <w:rFonts w:ascii="Times New Roman" w:hAnsi="Times New Roman" w:eastAsia="方正仿宋_GBK"/>
          <w:sz w:val="30"/>
          <w:szCs w:val="30"/>
        </w:rPr>
        <w:t>甲方按照</w:t>
      </w:r>
      <w:r>
        <w:rPr>
          <w:rFonts w:hint="eastAsia" w:ascii="Times New Roman" w:hAnsi="Times New Roman" w:eastAsia="方正仿宋_GBK"/>
          <w:sz w:val="30"/>
          <w:szCs w:val="30"/>
        </w:rPr>
        <w:t>地方</w:t>
      </w:r>
      <w:r>
        <w:rPr>
          <w:rFonts w:ascii="Times New Roman" w:hAnsi="Times New Roman" w:eastAsia="方正仿宋_GBK"/>
          <w:sz w:val="30"/>
          <w:szCs w:val="30"/>
        </w:rPr>
        <w:t>储备粮月末库存不低于总量</w:t>
      </w:r>
      <w:bookmarkStart w:id="2" w:name="_GoBack"/>
      <w:bookmarkEnd w:id="2"/>
      <w:r>
        <w:rPr>
          <w:rFonts w:ascii="Times New Roman" w:hAnsi="Times New Roman" w:eastAsia="方正仿宋_GBK"/>
          <w:sz w:val="30"/>
          <w:szCs w:val="30"/>
        </w:rPr>
        <w:t>70%开展轮换实施。如合同中的储备粮被政府调用，本次购销合作双向交易中的销售合同终止履行，乙方不得强求甲方履行合同或要求甲方承担违约责任）。</w:t>
      </w:r>
    </w:p>
    <w:p w14:paraId="3B6C84E6">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4、销售质量：</w:t>
      </w:r>
      <w:r>
        <w:rPr>
          <w:rFonts w:ascii="Times New Roman" w:hAnsi="Times New Roman" w:eastAsia="方正仿宋_GBK"/>
          <w:sz w:val="30"/>
          <w:szCs w:val="30"/>
        </w:rPr>
        <w:t>以甲方现场仓房小麦实际质量为准。</w:t>
      </w:r>
    </w:p>
    <w:p w14:paraId="1DC7CA37">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5、销售结算：</w:t>
      </w:r>
      <w:r>
        <w:rPr>
          <w:rFonts w:ascii="Times New Roman" w:hAnsi="Times New Roman" w:eastAsia="方正仿宋_GBK"/>
          <w:sz w:val="30"/>
          <w:szCs w:val="30"/>
        </w:rPr>
        <w:t>乙方将货款汇至江苏市场账户，凭交易市场开具的出库单和身份证明提货。销售交易完成经双方书面确认后，甲方向乙方开具正式发票。</w:t>
      </w:r>
    </w:p>
    <w:p w14:paraId="51440663">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二、</w:t>
      </w:r>
      <w:r>
        <w:rPr>
          <w:rFonts w:ascii="Times New Roman" w:hAnsi="Times New Roman" w:eastAsia="方正黑体_GBK"/>
          <w:sz w:val="30"/>
          <w:szCs w:val="30"/>
        </w:rPr>
        <w:t>收购事宜</w:t>
      </w:r>
    </w:p>
    <w:p w14:paraId="66B53D6A">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1、入库数量：</w:t>
      </w:r>
      <w:r>
        <w:rPr>
          <w:rFonts w:ascii="Times New Roman" w:hAnsi="Times New Roman" w:eastAsia="方正仿宋_GBK"/>
          <w:sz w:val="30"/>
          <w:szCs w:val="30"/>
        </w:rPr>
        <w:t>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 xml:space="preserve"> </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吨（以甲方交货库点电子汽车衡计量为准，</w:t>
      </w:r>
      <w:r>
        <w:rPr>
          <w:rFonts w:hint="eastAsia" w:ascii="Times New Roman" w:hAnsi="Times New Roman" w:eastAsia="方正仿宋_GBK"/>
          <w:sz w:val="30"/>
          <w:szCs w:val="30"/>
        </w:rPr>
        <w:t>数量与</w:t>
      </w:r>
      <w:r>
        <w:rPr>
          <w:rFonts w:ascii="Times New Roman" w:hAnsi="Times New Roman" w:eastAsia="方正仿宋_GBK"/>
          <w:sz w:val="30"/>
          <w:szCs w:val="30"/>
        </w:rPr>
        <w:t>实际</w:t>
      </w:r>
      <w:r>
        <w:rPr>
          <w:rFonts w:hint="eastAsia" w:ascii="Times New Roman" w:hAnsi="Times New Roman" w:eastAsia="方正仿宋_GBK"/>
          <w:sz w:val="30"/>
          <w:szCs w:val="30"/>
        </w:rPr>
        <w:t>出</w:t>
      </w:r>
      <w:r>
        <w:rPr>
          <w:rFonts w:ascii="Times New Roman" w:hAnsi="Times New Roman" w:eastAsia="方正仿宋_GBK"/>
          <w:sz w:val="30"/>
          <w:szCs w:val="30"/>
        </w:rPr>
        <w:t>库</w:t>
      </w:r>
      <w:r>
        <w:rPr>
          <w:rFonts w:hint="eastAsia" w:ascii="Times New Roman" w:hAnsi="Times New Roman" w:eastAsia="方正仿宋_GBK"/>
          <w:sz w:val="30"/>
          <w:szCs w:val="30"/>
        </w:rPr>
        <w:t>时结算</w:t>
      </w:r>
      <w:r>
        <w:rPr>
          <w:rFonts w:ascii="Times New Roman" w:hAnsi="Times New Roman" w:eastAsia="方正仿宋_GBK"/>
          <w:sz w:val="30"/>
          <w:szCs w:val="30"/>
        </w:rPr>
        <w:t>数量</w:t>
      </w:r>
      <w:r>
        <w:rPr>
          <w:rFonts w:hint="eastAsia" w:ascii="Times New Roman" w:hAnsi="Times New Roman" w:eastAsia="方正仿宋_GBK"/>
          <w:sz w:val="30"/>
          <w:szCs w:val="30"/>
        </w:rPr>
        <w:t>一致，差额部分甲方按照市场价收购乙方组织的2026年产小麦或甲方另行收购</w:t>
      </w:r>
      <w:r>
        <w:rPr>
          <w:rFonts w:ascii="Times New Roman" w:hAnsi="Times New Roman" w:eastAsia="方正仿宋_GBK"/>
          <w:sz w:val="30"/>
          <w:szCs w:val="30"/>
        </w:rPr>
        <w:t>）。</w:t>
      </w:r>
    </w:p>
    <w:p w14:paraId="0B813C65">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2、入库时间：</w:t>
      </w:r>
      <w:r>
        <w:rPr>
          <w:rFonts w:ascii="Times New Roman" w:hAnsi="Times New Roman" w:eastAsia="方正仿宋_GBK"/>
          <w:sz w:val="30"/>
          <w:szCs w:val="30"/>
        </w:rPr>
        <w:t>乙方须</w:t>
      </w:r>
      <w:r>
        <w:rPr>
          <w:rFonts w:hint="eastAsia" w:ascii="Times New Roman" w:hAnsi="Times New Roman" w:eastAsia="方正仿宋_GBK"/>
          <w:sz w:val="30"/>
          <w:szCs w:val="30"/>
        </w:rPr>
        <w:t>在2</w:t>
      </w:r>
      <w:r>
        <w:rPr>
          <w:rFonts w:ascii="Times New Roman" w:hAnsi="Times New Roman" w:eastAsia="方正仿宋_GBK"/>
          <w:sz w:val="30"/>
          <w:szCs w:val="30"/>
        </w:rPr>
        <w:t>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月</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日前完成交收。具体仓号、数量以小麦入库后双方书面确认单为准，该批小麦所有权属于甲方所有。202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月</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日前，入库数量必须达到合同约定数半数以上，否则视同乙方违约，甲方有权终止合同。因极端天气等不可抗力导致的入库延迟，双方再行友好协商解决。</w:t>
      </w:r>
    </w:p>
    <w:p w14:paraId="631D540A">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3、入库价格：</w:t>
      </w:r>
      <w:r>
        <w:rPr>
          <w:rFonts w:ascii="Times New Roman" w:hAnsi="Times New Roman" w:eastAsia="方正仿宋_GBK"/>
          <w:sz w:val="30"/>
          <w:szCs w:val="30"/>
        </w:rPr>
        <w:t>按竞价交易结果确定采购价</w:t>
      </w:r>
      <w:r>
        <w:rPr>
          <w:rFonts w:hint="eastAsia" w:ascii="Times New Roman" w:hAnsi="Times New Roman" w:eastAsia="方正仿宋_GBK"/>
          <w:sz w:val="30"/>
          <w:szCs w:val="30"/>
        </w:rPr>
        <w:t>为</w:t>
      </w:r>
      <w:r>
        <w:rPr>
          <w:rFonts w:ascii="Times New Roman" w:hAnsi="Times New Roman" w:eastAsia="方正仿宋_GBK"/>
          <w:sz w:val="30"/>
          <w:szCs w:val="30"/>
          <w:u w:val="single"/>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元/吨。</w:t>
      </w:r>
    </w:p>
    <w:p w14:paraId="14F512F0">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4、交货地点：</w:t>
      </w:r>
      <w:r>
        <w:rPr>
          <w:rFonts w:ascii="Times New Roman" w:hAnsi="Times New Roman" w:eastAsia="方正仿宋_GBK"/>
          <w:sz w:val="30"/>
          <w:szCs w:val="30"/>
        </w:rPr>
        <w:t>南京市浦口区粮食购销有限公司</w:t>
      </w:r>
      <w:r>
        <w:rPr>
          <w:rFonts w:hint="eastAsia" w:ascii="Times New Roman" w:hAnsi="Times New Roman" w:eastAsia="方正仿宋_GBK"/>
          <w:sz w:val="30"/>
          <w:szCs w:val="30"/>
          <w:u w:val="single"/>
          <w:lang w:val="en-US" w:eastAsia="zh-CN"/>
        </w:rPr>
        <w:t xml:space="preserve">    </w:t>
      </w:r>
      <w:r>
        <w:rPr>
          <w:rFonts w:ascii="Times New Roman" w:hAnsi="Times New Roman" w:eastAsia="方正仿宋_GBK"/>
          <w:sz w:val="30"/>
          <w:szCs w:val="30"/>
          <w:u w:val="single"/>
        </w:rPr>
        <w:t xml:space="preserve"> 库</w:t>
      </w:r>
      <w:r>
        <w:rPr>
          <w:rFonts w:hint="eastAsia" w:ascii="Times New Roman" w:hAnsi="Times New Roman" w:eastAsia="方正仿宋_GBK"/>
          <w:sz w:val="30"/>
          <w:szCs w:val="30"/>
          <w:u w:val="single"/>
          <w:lang w:val="en-US" w:eastAsia="zh-CN"/>
        </w:rPr>
        <w:t>指定仓</w:t>
      </w:r>
      <w:r>
        <w:rPr>
          <w:rFonts w:ascii="Times New Roman" w:hAnsi="Times New Roman" w:eastAsia="方正仿宋_GBK"/>
          <w:sz w:val="30"/>
          <w:szCs w:val="30"/>
        </w:rPr>
        <w:t xml:space="preserve">。 </w:t>
      </w:r>
    </w:p>
    <w:p w14:paraId="5449FD45">
      <w:pPr>
        <w:spacing w:line="540" w:lineRule="exact"/>
        <w:ind w:firstLine="600" w:firstLineChars="200"/>
        <w:rPr>
          <w:rFonts w:ascii="Times New Roman" w:hAnsi="Times New Roman" w:eastAsia="方正仿宋_GBK"/>
          <w:sz w:val="30"/>
          <w:szCs w:val="30"/>
          <w:lang w:val="zh-CN"/>
        </w:rPr>
      </w:pPr>
      <w:r>
        <w:rPr>
          <w:rFonts w:ascii="Times New Roman" w:hAnsi="Times New Roman" w:eastAsia="方正楷体_GBK"/>
          <w:sz w:val="30"/>
          <w:szCs w:val="30"/>
        </w:rPr>
        <w:t>5、质量要求：</w:t>
      </w:r>
      <w:r>
        <w:rPr>
          <w:rFonts w:ascii="Times New Roman" w:hAnsi="Times New Roman" w:eastAsia="方正仿宋_GBK"/>
          <w:sz w:val="30"/>
          <w:szCs w:val="30"/>
        </w:rPr>
        <w:t>必须是202</w:t>
      </w:r>
      <w:r>
        <w:rPr>
          <w:rFonts w:hint="eastAsia" w:ascii="Times New Roman" w:hAnsi="Times New Roman" w:eastAsia="方正仿宋_GBK"/>
          <w:sz w:val="30"/>
          <w:szCs w:val="30"/>
        </w:rPr>
        <w:t>6</w:t>
      </w:r>
      <w:r>
        <w:rPr>
          <w:rFonts w:ascii="Times New Roman" w:hAnsi="Times New Roman" w:eastAsia="方正仿宋_GBK"/>
          <w:sz w:val="30"/>
          <w:szCs w:val="30"/>
        </w:rPr>
        <w:t>年产新小麦，严禁掺混陈粮，违者没收全部保证金，并移交相关执法部门处理。入库等级须达国家质量标准(GB1351-2023)</w:t>
      </w:r>
      <w:r>
        <w:rPr>
          <w:rFonts w:hint="eastAsia" w:ascii="Times New Roman" w:hAnsi="Times New Roman" w:eastAsia="方正仿宋_GBK"/>
          <w:sz w:val="30"/>
          <w:szCs w:val="30"/>
        </w:rPr>
        <w:t>三</w:t>
      </w:r>
      <w:r>
        <w:rPr>
          <w:rFonts w:ascii="Times New Roman" w:hAnsi="Times New Roman" w:eastAsia="方正仿宋_GBK"/>
          <w:sz w:val="30"/>
          <w:szCs w:val="30"/>
        </w:rPr>
        <w:t>等及以上（入库小麦等级须为同一等级，不得混等级入库），水杂增扣量按国粮</w:t>
      </w:r>
      <w:r>
        <w:rPr>
          <w:rFonts w:hint="eastAsia" w:ascii="Times New Roman" w:hAnsi="Times New Roman" w:eastAsia="方正仿宋_GBK"/>
          <w:sz w:val="30"/>
          <w:szCs w:val="30"/>
        </w:rPr>
        <w:t>标〔2024〕198号</w:t>
      </w:r>
      <w:r>
        <w:rPr>
          <w:rFonts w:ascii="Times New Roman" w:hAnsi="Times New Roman" w:eastAsia="方正仿宋_GBK"/>
          <w:sz w:val="30"/>
          <w:szCs w:val="30"/>
        </w:rPr>
        <w:t>文件执行。①容重≥7</w:t>
      </w:r>
      <w:r>
        <w:rPr>
          <w:rFonts w:hint="eastAsia" w:ascii="Times New Roman" w:hAnsi="Times New Roman" w:eastAsia="方正仿宋_GBK"/>
          <w:sz w:val="30"/>
          <w:szCs w:val="30"/>
        </w:rPr>
        <w:t>5</w:t>
      </w:r>
      <w:r>
        <w:rPr>
          <w:rFonts w:ascii="Times New Roman" w:hAnsi="Times New Roman" w:eastAsia="方正仿宋_GBK"/>
          <w:sz w:val="30"/>
          <w:szCs w:val="30"/>
        </w:rPr>
        <w:t>0g/L；②入库必须过筛（含杂质≤1%），筛下物由中标方带回，杂质超2.0%（不含）拒收；③水分≤12.5%，超过13.5%(不含)拒收；④不完善粒≤</w:t>
      </w:r>
      <w:r>
        <w:rPr>
          <w:rFonts w:hint="eastAsia" w:ascii="Times New Roman" w:hAnsi="Times New Roman" w:eastAsia="方正仿宋_GBK"/>
          <w:sz w:val="30"/>
          <w:szCs w:val="30"/>
        </w:rPr>
        <w:t>8</w:t>
      </w:r>
      <w:r>
        <w:rPr>
          <w:rFonts w:ascii="Times New Roman" w:hAnsi="Times New Roman" w:eastAsia="方正仿宋_GBK"/>
          <w:sz w:val="30"/>
          <w:szCs w:val="30"/>
        </w:rPr>
        <w:t>%；⑤无虫害，色泽气味正常；⑥其他质量指标、储存品质指标和食品安全指标须符合国家规定标准，其中：呕吐毒素≤1000μg/kg、玉米赤霉烯酮≤60μg/kg、重金属镉≤0.1mg/kg、重金属铅≤0.2mg/kg。</w:t>
      </w:r>
      <w:r>
        <w:rPr>
          <w:rFonts w:ascii="Times New Roman" w:hAnsi="Times New Roman" w:eastAsia="方正仿宋_GBK"/>
          <w:sz w:val="30"/>
          <w:szCs w:val="30"/>
          <w:lang w:val="zh-CN"/>
        </w:rPr>
        <w:t>食品卫生指标不符合国家相关标准的，发现有霉变、虫粮、病斑粒超标的，陈粮混入的，色泽气味异常的</w:t>
      </w:r>
      <w:r>
        <w:rPr>
          <w:rFonts w:hint="eastAsia" w:ascii="Times New Roman" w:hAnsi="Times New Roman" w:eastAsia="方正仿宋_GBK"/>
          <w:sz w:val="30"/>
          <w:szCs w:val="30"/>
          <w:lang w:val="zh-CN"/>
        </w:rPr>
        <w:t>，</w:t>
      </w:r>
      <w:r>
        <w:rPr>
          <w:rFonts w:hint="eastAsia" w:ascii="Times New Roman" w:hAnsi="Times New Roman" w:eastAsia="方正仿宋_GBK"/>
          <w:sz w:val="30"/>
          <w:szCs w:val="30"/>
          <w:lang w:val="en-US" w:eastAsia="zh-CN"/>
        </w:rPr>
        <w:t>甲</w:t>
      </w:r>
      <w:r>
        <w:rPr>
          <w:rFonts w:ascii="Times New Roman" w:hAnsi="Times New Roman" w:eastAsia="方正仿宋_GBK"/>
          <w:sz w:val="30"/>
          <w:szCs w:val="30"/>
          <w:lang w:val="zh-CN"/>
        </w:rPr>
        <w:t>方有权拒收，相关责任由</w:t>
      </w:r>
      <w:r>
        <w:rPr>
          <w:rFonts w:hint="eastAsia" w:ascii="Times New Roman" w:hAnsi="Times New Roman" w:eastAsia="方正仿宋_GBK"/>
          <w:sz w:val="30"/>
          <w:szCs w:val="30"/>
          <w:lang w:val="en-US" w:eastAsia="zh-CN"/>
        </w:rPr>
        <w:t>乙</w:t>
      </w:r>
      <w:r>
        <w:rPr>
          <w:rFonts w:ascii="Times New Roman" w:hAnsi="Times New Roman" w:eastAsia="方正仿宋_GBK"/>
          <w:sz w:val="30"/>
          <w:szCs w:val="30"/>
          <w:lang w:val="zh-CN"/>
        </w:rPr>
        <w:t>方承担。</w:t>
      </w:r>
    </w:p>
    <w:p w14:paraId="6FC32371">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6、质量确认：</w:t>
      </w:r>
      <w:r>
        <w:rPr>
          <w:rFonts w:ascii="Times New Roman" w:hAnsi="Times New Roman" w:eastAsia="方正仿宋_GBK"/>
          <w:sz w:val="30"/>
          <w:szCs w:val="30"/>
        </w:rPr>
        <w:t>入库时双方在交货地验质，如对检验方法、标准或质量结果有异议，可委托具有检验资质的粮食质量检验机构检验，检验费用由异议提出方先行支付，异议成立的最终由被异议方承担。</w:t>
      </w:r>
    </w:p>
    <w:p w14:paraId="3274307F">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7、收购结算：</w:t>
      </w:r>
      <w:r>
        <w:rPr>
          <w:rFonts w:ascii="Times New Roman" w:hAnsi="Times New Roman" w:eastAsia="方正仿宋_GBK"/>
          <w:sz w:val="30"/>
          <w:szCs w:val="30"/>
        </w:rPr>
        <w:t>采用“先货后款”的方式，小麦货到经甲方初检合格后进行入库，甲方根据入库凭证向乙方支付小麦货款（整仓入库完成前，乙方须向甲方提供相对应的增值税发票。为降低风险，甲方在该仓粮食收购结束前两天，保留部分粮食收购货款，待乙方开具发票后支付给乙方）。粮食全部入库后，甲方委托有资质的第三方对入库粮食质量进行全仓检验，如质量不符合本合同约定的质量标准，甲方有权无条件全仓退货，货物由乙方自行处理，并承担由此产生的全部费用和损失。经甲方属地粮食行政管理部门验收合格后根据实际履约数量乙方向甲方提供正式发票。</w:t>
      </w:r>
    </w:p>
    <w:p w14:paraId="4F1124AA">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三</w:t>
      </w:r>
      <w:r>
        <w:rPr>
          <w:rFonts w:ascii="Times New Roman" w:hAnsi="Times New Roman" w:eastAsia="方正黑体_GBK"/>
          <w:sz w:val="30"/>
          <w:szCs w:val="30"/>
        </w:rPr>
        <w:t xml:space="preserve">、进出库费用 </w:t>
      </w:r>
    </w:p>
    <w:p w14:paraId="6C87720C">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1、出库时仓库车板前费用由乙方承担。 </w:t>
      </w:r>
    </w:p>
    <w:p w14:paraId="7D06F95B">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2、入库时仓库车板后费用由乙方承担。 </w:t>
      </w:r>
    </w:p>
    <w:p w14:paraId="6B35236A">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四</w:t>
      </w:r>
      <w:r>
        <w:rPr>
          <w:rFonts w:ascii="Times New Roman" w:hAnsi="Times New Roman" w:eastAsia="方正黑体_GBK"/>
          <w:sz w:val="30"/>
          <w:szCs w:val="30"/>
        </w:rPr>
        <w:t>、合同履约</w:t>
      </w:r>
    </w:p>
    <w:p w14:paraId="26AF7090">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通过竞价交易的方式获得购销合作的权利，乙方按照甲方委托公告的要求参加竞价交易。本次购销双向交易采取以销竞采的交易方式。一次交易实现地方储备粮采购（轮入）和销售（轮出）。销售价格固定，竞价方只需对采购标的物的底价进行竞价，一旦采购标的物竞价成交，则相对应的销售标的物同时成交，最终采购价以竞价交易确认的成交价为依据、并按合同约定计算确认。 </w:t>
      </w:r>
    </w:p>
    <w:p w14:paraId="14E9B070">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2、乙方竞价成功获得合作购销权利后，</w:t>
      </w:r>
      <w:r>
        <w:rPr>
          <w:rFonts w:hint="eastAsia" w:ascii="Times New Roman" w:hAnsi="Times New Roman" w:eastAsia="方正仿宋_GBK"/>
          <w:sz w:val="30"/>
          <w:szCs w:val="30"/>
        </w:rPr>
        <w:t>须在一周内</w:t>
      </w:r>
      <w:r>
        <w:rPr>
          <w:rFonts w:ascii="Times New Roman" w:hAnsi="Times New Roman" w:eastAsia="方正仿宋_GBK"/>
          <w:sz w:val="30"/>
          <w:szCs w:val="30"/>
        </w:rPr>
        <w:t>与甲方签订本合同，</w:t>
      </w:r>
      <w:r>
        <w:rPr>
          <w:rFonts w:hint="eastAsia" w:ascii="Times New Roman" w:hAnsi="Times New Roman" w:eastAsia="方正仿宋_GBK"/>
          <w:sz w:val="28"/>
          <w:szCs w:val="28"/>
        </w:rPr>
        <w:t>合同签订后</w:t>
      </w:r>
      <w:r>
        <w:rPr>
          <w:rFonts w:ascii="Times New Roman" w:hAnsi="Times New Roman" w:eastAsia="方正仿宋_GBK"/>
          <w:sz w:val="28"/>
          <w:szCs w:val="28"/>
        </w:rPr>
        <w:t>交易系统内的购、销双向交易合同正式生效</w:t>
      </w:r>
      <w:r>
        <w:rPr>
          <w:rFonts w:hint="eastAsia" w:ascii="Times New Roman" w:hAnsi="Times New Roman" w:eastAsia="方正仿宋_GBK"/>
          <w:sz w:val="28"/>
          <w:szCs w:val="28"/>
        </w:rPr>
        <w:t>。</w:t>
      </w:r>
      <w:r>
        <w:rPr>
          <w:rFonts w:hint="eastAsia" w:ascii="Times New Roman" w:hAnsi="Times New Roman" w:eastAsia="方正仿宋_GBK"/>
          <w:sz w:val="30"/>
          <w:szCs w:val="30"/>
        </w:rPr>
        <w:t>一周</w:t>
      </w:r>
      <w:r>
        <w:rPr>
          <w:rFonts w:ascii="Times New Roman" w:hAnsi="Times New Roman" w:eastAsia="方正仿宋_GBK"/>
          <w:sz w:val="30"/>
          <w:szCs w:val="30"/>
        </w:rPr>
        <w:t>内不签订本合同，认定为乙方竞价中标后违约，江苏粮油商品交易市场从预交保证金中扣除相关手续费用，余款归甲方所有作为对甲方的赔偿。</w:t>
      </w:r>
    </w:p>
    <w:p w14:paraId="540669E6">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五</w:t>
      </w:r>
      <w:r>
        <w:rPr>
          <w:rFonts w:ascii="Times New Roman" w:hAnsi="Times New Roman" w:eastAsia="方正黑体_GBK"/>
          <w:sz w:val="30"/>
          <w:szCs w:val="30"/>
        </w:rPr>
        <w:t xml:space="preserve">、其他条款 </w:t>
      </w:r>
    </w:p>
    <w:p w14:paraId="504FF9BD">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1</w:t>
      </w:r>
      <w:r>
        <w:rPr>
          <w:rFonts w:hint="eastAsia" w:ascii="Times New Roman" w:hAnsi="Times New Roman" w:eastAsia="方正仿宋_GBK"/>
          <w:sz w:val="30"/>
          <w:szCs w:val="30"/>
        </w:rPr>
        <w:t>、</w:t>
      </w:r>
      <w:r>
        <w:rPr>
          <w:rFonts w:ascii="Times New Roman" w:hAnsi="Times New Roman" w:eastAsia="方正仿宋_GBK"/>
          <w:sz w:val="30"/>
          <w:szCs w:val="30"/>
        </w:rPr>
        <w:t>如遇政策调控，甲乙双方应无条件服从政府调控需要，互不承担违约责任。甲方按上级制定的调拨价格扣除相关税费后全额与乙方进行结算。</w:t>
      </w:r>
    </w:p>
    <w:p w14:paraId="04B9C5A5">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w:t>
      </w:r>
      <w:r>
        <w:rPr>
          <w:rFonts w:hint="eastAsia" w:ascii="Times New Roman" w:hAnsi="Times New Roman" w:eastAsia="方正仿宋_GBK"/>
          <w:sz w:val="30"/>
          <w:szCs w:val="30"/>
        </w:rPr>
        <w:t>、</w:t>
      </w:r>
      <w:r>
        <w:rPr>
          <w:rFonts w:ascii="Times New Roman" w:hAnsi="Times New Roman" w:eastAsia="方正仿宋_GBK"/>
          <w:sz w:val="30"/>
          <w:szCs w:val="30"/>
        </w:rPr>
        <w:t xml:space="preserve">粮食入库后由甲方保管，并确保保管期间的入库粮食数量真实、质量良好。储存期间需符合地方储备粮管理规定，入库完毕后双方共同确认数量和质量。 </w:t>
      </w:r>
    </w:p>
    <w:p w14:paraId="06A0F0DD">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3</w:t>
      </w:r>
      <w:r>
        <w:rPr>
          <w:rFonts w:hint="eastAsia" w:ascii="Times New Roman" w:hAnsi="Times New Roman" w:eastAsia="方正仿宋_GBK"/>
          <w:sz w:val="30"/>
          <w:szCs w:val="30"/>
        </w:rPr>
        <w:t>、</w:t>
      </w:r>
      <w:r>
        <w:rPr>
          <w:rFonts w:ascii="Times New Roman" w:hAnsi="Times New Roman" w:eastAsia="方正仿宋_GBK"/>
          <w:sz w:val="30"/>
          <w:szCs w:val="30"/>
        </w:rPr>
        <w:t xml:space="preserve">该批粮食的实际水杂减量和保管损耗由甲方承担。销售提货时乙方必须规定时间内提完，避免动仓后粮食质量下降；因乙方提货动仓后造成粮食品质下降，由乙方负责。 </w:t>
      </w:r>
    </w:p>
    <w:p w14:paraId="5563963A">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4</w:t>
      </w:r>
      <w:r>
        <w:rPr>
          <w:rFonts w:hint="eastAsia" w:ascii="Times New Roman" w:hAnsi="Times New Roman" w:eastAsia="方正仿宋_GBK"/>
          <w:sz w:val="30"/>
          <w:szCs w:val="30"/>
        </w:rPr>
        <w:t>、</w:t>
      </w:r>
      <w:r>
        <w:rPr>
          <w:rFonts w:ascii="Times New Roman" w:hAnsi="Times New Roman" w:eastAsia="方正仿宋_GBK"/>
          <w:sz w:val="30"/>
          <w:szCs w:val="30"/>
        </w:rPr>
        <w:t xml:space="preserve">涉及储备粮业务的各项补贴与乙方无关。 </w:t>
      </w:r>
    </w:p>
    <w:p w14:paraId="06BC2C7A">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5</w:t>
      </w:r>
      <w:r>
        <w:rPr>
          <w:rFonts w:hint="eastAsia" w:ascii="Times New Roman" w:hAnsi="Times New Roman" w:eastAsia="方正仿宋_GBK"/>
          <w:sz w:val="30"/>
          <w:szCs w:val="30"/>
        </w:rPr>
        <w:t>、</w:t>
      </w:r>
      <w:r>
        <w:rPr>
          <w:rFonts w:ascii="Times New Roman" w:hAnsi="Times New Roman" w:eastAsia="方正仿宋_GBK"/>
          <w:sz w:val="30"/>
          <w:szCs w:val="30"/>
        </w:rPr>
        <w:t>甲乙双方购、销双向交易履约均在国家粮食交易平台中完成，合作权利确定后，分销售、采购两个环节进行。</w:t>
      </w:r>
    </w:p>
    <w:p w14:paraId="26191BDB">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6、采购（轮入）时，乙方须承诺粮食来源符合国家法律、法规及政策规定，非最低收购价等政策性粮食或中央、各级地方政府储备轮出粮食；销售（轮出）时点，乙方须承诺粮食应当按照法律、法规及政策规定使用，不得流转或销售用作最低收购价等政策性粮食或中央、各级地方政府储备粮食。否则一切法律和政策责任全部由乙方自行承担。</w:t>
      </w:r>
    </w:p>
    <w:p w14:paraId="643AE07B">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六</w:t>
      </w:r>
      <w:r>
        <w:rPr>
          <w:rFonts w:ascii="Times New Roman" w:hAnsi="Times New Roman" w:eastAsia="方正黑体_GBK"/>
          <w:sz w:val="30"/>
          <w:szCs w:val="30"/>
        </w:rPr>
        <w:t xml:space="preserve">、违约责任 </w:t>
      </w:r>
    </w:p>
    <w:p w14:paraId="7321D556">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1、乙方不能按合同时间、数量和质量送达，影响甲方储备入 </w:t>
      </w:r>
    </w:p>
    <w:p w14:paraId="13BA7765">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库计划，按违约处理，乙方保证金归甲方所有，合同终止。 </w:t>
      </w:r>
    </w:p>
    <w:p w14:paraId="5DA5DEC9">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2、如乙方逾期未提清约定数量，则视作乙方违约，乙方需支 </w:t>
      </w:r>
    </w:p>
    <w:p w14:paraId="259AC888">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付给甲方未提清货款20%的违约金，未提数量甲方不再销售给乙方，而由甲方另行销售，货款用于偿还违约造成的损失，不足部分甲方保留向乙方追讨补足价差的权利。 </w:t>
      </w:r>
    </w:p>
    <w:p w14:paraId="666DFA27">
      <w:pPr>
        <w:spacing w:line="580" w:lineRule="exact"/>
        <w:ind w:firstLine="600" w:firstLineChars="200"/>
        <w:rPr>
          <w:rFonts w:ascii="Times New Roman" w:hAnsi="Times New Roman" w:eastAsia="方正黑体_GBK"/>
          <w:sz w:val="30"/>
          <w:szCs w:val="30"/>
        </w:rPr>
      </w:pPr>
      <w:r>
        <w:rPr>
          <w:rFonts w:hint="eastAsia" w:ascii="Times New Roman" w:hAnsi="Times New Roman" w:eastAsia="方正仿宋_GBK"/>
          <w:sz w:val="30"/>
          <w:szCs w:val="30"/>
        </w:rPr>
        <w:t>3、如双方发生争议以致诉讼解决，则违约一方应当承担守约方为维护权益所支出的包括但不限于案件受理费、律师费、诉讼担保费、保全费、公证费、鉴定费、翻译费、调查取证费用等所有合理费用和支出。</w:t>
      </w:r>
    </w:p>
    <w:p w14:paraId="22740317">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七</w:t>
      </w:r>
      <w:r>
        <w:rPr>
          <w:rFonts w:ascii="Times New Roman" w:hAnsi="Times New Roman" w:eastAsia="方正黑体_GBK"/>
          <w:sz w:val="30"/>
          <w:szCs w:val="30"/>
        </w:rPr>
        <w:t>、解决纠纷方式</w:t>
      </w:r>
    </w:p>
    <w:p w14:paraId="1A3BCDE6">
      <w:pPr>
        <w:tabs>
          <w:tab w:val="left" w:pos="690"/>
        </w:tabs>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协商解决或按《民法典》通过法律程序解决，出现合同纠纷和未尽事宜双方协商，可签订补充协议，补充协议与本协议是具有同等法律效应，不能协商一致，依法向甲方所在地人民法院提起诉讼。</w:t>
      </w:r>
    </w:p>
    <w:p w14:paraId="095CE0D8">
      <w:pPr>
        <w:keepNext w:val="0"/>
        <w:keepLines w:val="0"/>
        <w:pageBreakBefore w:val="0"/>
        <w:widowControl w:val="0"/>
        <w:tabs>
          <w:tab w:val="left" w:pos="690"/>
        </w:tabs>
        <w:kinsoku/>
        <w:wordWrap/>
        <w:overflowPunct/>
        <w:topLinePunct w:val="0"/>
        <w:autoSpaceDE/>
        <w:autoSpaceDN/>
        <w:bidi w:val="0"/>
        <w:adjustRightInd/>
        <w:snapToGrid/>
        <w:spacing w:after="313" w:afterLines="100" w:line="560" w:lineRule="exact"/>
        <w:ind w:firstLine="600" w:firstLineChars="200"/>
        <w:textAlignment w:val="auto"/>
        <w:rPr>
          <w:rFonts w:ascii="Times New Roman" w:hAnsi="Times New Roman" w:eastAsia="方正仿宋_GBK"/>
          <w:sz w:val="30"/>
          <w:szCs w:val="30"/>
        </w:rPr>
      </w:pPr>
      <w:r>
        <w:rPr>
          <w:rFonts w:ascii="Times New Roman" w:hAnsi="Times New Roman" w:eastAsia="方正仿宋_GBK"/>
          <w:sz w:val="30"/>
          <w:szCs w:val="30"/>
        </w:rPr>
        <w:t>本合同一式肆份，本合同双方签字盖章后生效，本合同有效期至出库结束止，本合同相关传真件、扫描件视同原件。</w:t>
      </w:r>
    </w:p>
    <w:tbl>
      <w:tblPr>
        <w:tblStyle w:val="16"/>
        <w:tblpPr w:leftFromText="180" w:rightFromText="180" w:vertAnchor="text" w:horzAnchor="page" w:tblpX="1514" w:tblpY="81"/>
        <w:tblOverlap w:val="never"/>
        <w:tblW w:w="9139" w:type="dxa"/>
        <w:tblInd w:w="0" w:type="dxa"/>
        <w:tblLayout w:type="fixed"/>
        <w:tblCellMar>
          <w:top w:w="0" w:type="dxa"/>
          <w:left w:w="0" w:type="dxa"/>
          <w:bottom w:w="0" w:type="dxa"/>
          <w:right w:w="0" w:type="dxa"/>
        </w:tblCellMar>
      </w:tblPr>
      <w:tblGrid>
        <w:gridCol w:w="4464"/>
        <w:gridCol w:w="4675"/>
      </w:tblGrid>
      <w:tr w14:paraId="0BDE8A0C">
        <w:tblPrEx>
          <w:tblCellMar>
            <w:top w:w="0" w:type="dxa"/>
            <w:left w:w="0" w:type="dxa"/>
            <w:bottom w:w="0" w:type="dxa"/>
            <w:right w:w="0" w:type="dxa"/>
          </w:tblCellMar>
        </w:tblPrEx>
        <w:trPr>
          <w:cantSplit/>
          <w:trHeight w:val="986" w:hRule="atLeast"/>
        </w:trPr>
        <w:tc>
          <w:tcPr>
            <w:tcW w:w="4464" w:type="dxa"/>
            <w:vAlign w:val="center"/>
          </w:tcPr>
          <w:p w14:paraId="4FF669AA">
            <w:pPr>
              <w:spacing w:before="120" w:line="400" w:lineRule="exact"/>
              <w:rPr>
                <w:rFonts w:ascii="Times New Roman" w:hAnsi="Times New Roman" w:eastAsia="方正仿宋_GBK"/>
                <w:sz w:val="24"/>
              </w:rPr>
            </w:pPr>
            <w:r>
              <w:rPr>
                <w:rFonts w:ascii="Times New Roman" w:hAnsi="Times New Roman" w:eastAsia="方正仿宋_GBK"/>
                <w:sz w:val="24"/>
              </w:rPr>
              <w:t>甲方(公章)： 南京市浦口区粮食购销有限公司</w:t>
            </w:r>
          </w:p>
        </w:tc>
        <w:tc>
          <w:tcPr>
            <w:tcW w:w="4675" w:type="dxa"/>
          </w:tcPr>
          <w:p w14:paraId="5D3F01AF">
            <w:pPr>
              <w:spacing w:before="120" w:line="400" w:lineRule="exact"/>
              <w:ind w:left="1440" w:hanging="1440" w:hangingChars="600"/>
              <w:rPr>
                <w:rFonts w:ascii="Times New Roman" w:hAnsi="Times New Roman" w:eastAsia="方正仿宋_GBK"/>
                <w:sz w:val="24"/>
              </w:rPr>
            </w:pPr>
            <w:r>
              <w:rPr>
                <w:rFonts w:ascii="Times New Roman" w:hAnsi="Times New Roman" w:eastAsia="方正仿宋_GBK"/>
                <w:sz w:val="24"/>
              </w:rPr>
              <w:t>乙方(公章)：</w:t>
            </w:r>
          </w:p>
        </w:tc>
      </w:tr>
      <w:tr w14:paraId="376D9F91">
        <w:tblPrEx>
          <w:tblCellMar>
            <w:top w:w="0" w:type="dxa"/>
            <w:left w:w="0" w:type="dxa"/>
            <w:bottom w:w="0" w:type="dxa"/>
            <w:right w:w="0" w:type="dxa"/>
          </w:tblCellMar>
        </w:tblPrEx>
        <w:trPr>
          <w:cantSplit/>
          <w:trHeight w:val="924" w:hRule="atLeast"/>
        </w:trPr>
        <w:tc>
          <w:tcPr>
            <w:tcW w:w="4464" w:type="dxa"/>
            <w:vAlign w:val="center"/>
          </w:tcPr>
          <w:p w14:paraId="68DDF829">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c>
          <w:tcPr>
            <w:tcW w:w="4675" w:type="dxa"/>
            <w:vAlign w:val="center"/>
          </w:tcPr>
          <w:p w14:paraId="177F999A">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r>
      <w:tr w14:paraId="71245D32">
        <w:tblPrEx>
          <w:tblCellMar>
            <w:top w:w="0" w:type="dxa"/>
            <w:left w:w="0" w:type="dxa"/>
            <w:bottom w:w="0" w:type="dxa"/>
            <w:right w:w="0" w:type="dxa"/>
          </w:tblCellMar>
        </w:tblPrEx>
        <w:trPr>
          <w:cantSplit/>
          <w:trHeight w:val="924" w:hRule="atLeast"/>
        </w:trPr>
        <w:tc>
          <w:tcPr>
            <w:tcW w:w="4464" w:type="dxa"/>
            <w:vAlign w:val="center"/>
          </w:tcPr>
          <w:p w14:paraId="423DA3D1">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c>
          <w:tcPr>
            <w:tcW w:w="4675" w:type="dxa"/>
            <w:vAlign w:val="center"/>
          </w:tcPr>
          <w:p w14:paraId="1BA733EA">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r>
      <w:tr w14:paraId="4A81AE30">
        <w:tblPrEx>
          <w:tblCellMar>
            <w:top w:w="0" w:type="dxa"/>
            <w:left w:w="0" w:type="dxa"/>
            <w:bottom w:w="0" w:type="dxa"/>
            <w:right w:w="0" w:type="dxa"/>
          </w:tblCellMar>
        </w:tblPrEx>
        <w:trPr>
          <w:cantSplit/>
          <w:trHeight w:val="924" w:hRule="atLeast"/>
        </w:trPr>
        <w:tc>
          <w:tcPr>
            <w:tcW w:w="4464" w:type="dxa"/>
            <w:vAlign w:val="center"/>
          </w:tcPr>
          <w:p w14:paraId="746BCDA1">
            <w:pPr>
              <w:spacing w:before="120" w:line="400" w:lineRule="exact"/>
              <w:rPr>
                <w:rFonts w:ascii="Times New Roman" w:hAnsi="Times New Roman" w:eastAsia="方正仿宋_GBK"/>
                <w:sz w:val="24"/>
              </w:rPr>
            </w:pPr>
            <w:r>
              <w:rPr>
                <w:rFonts w:ascii="Times New Roman" w:hAnsi="Times New Roman" w:eastAsia="方正仿宋_GBK"/>
                <w:sz w:val="24"/>
              </w:rPr>
              <w:t>开户银行：</w:t>
            </w:r>
            <w:r>
              <w:rPr>
                <w:rFonts w:hint="eastAsia" w:ascii="Times New Roman" w:hAnsi="Times New Roman" w:eastAsia="方正仿宋_GBK"/>
                <w:sz w:val="24"/>
              </w:rPr>
              <w:t>中国农业发展银行浦口支行</w:t>
            </w:r>
          </w:p>
        </w:tc>
        <w:tc>
          <w:tcPr>
            <w:tcW w:w="4675" w:type="dxa"/>
          </w:tcPr>
          <w:p w14:paraId="359E42FA">
            <w:pPr>
              <w:spacing w:before="120" w:line="400" w:lineRule="exact"/>
              <w:rPr>
                <w:rFonts w:ascii="Times New Roman" w:hAnsi="Times New Roman" w:eastAsia="方正仿宋_GBK"/>
                <w:sz w:val="24"/>
              </w:rPr>
            </w:pPr>
            <w:r>
              <w:rPr>
                <w:rFonts w:ascii="Times New Roman" w:hAnsi="Times New Roman" w:eastAsia="方正仿宋_GBK"/>
                <w:sz w:val="24"/>
              </w:rPr>
              <w:t>开户银行：</w:t>
            </w:r>
          </w:p>
        </w:tc>
      </w:tr>
      <w:tr w14:paraId="4F0AE0FA">
        <w:tblPrEx>
          <w:tblCellMar>
            <w:top w:w="0" w:type="dxa"/>
            <w:left w:w="0" w:type="dxa"/>
            <w:bottom w:w="0" w:type="dxa"/>
            <w:right w:w="0" w:type="dxa"/>
          </w:tblCellMar>
        </w:tblPrEx>
        <w:trPr>
          <w:cantSplit/>
          <w:trHeight w:val="924" w:hRule="atLeast"/>
        </w:trPr>
        <w:tc>
          <w:tcPr>
            <w:tcW w:w="4464" w:type="dxa"/>
            <w:vAlign w:val="center"/>
          </w:tcPr>
          <w:p w14:paraId="2C8650C2">
            <w:pPr>
              <w:spacing w:before="120" w:line="400" w:lineRule="exact"/>
              <w:rPr>
                <w:rFonts w:ascii="Times New Roman" w:hAnsi="Times New Roman" w:eastAsia="方正仿宋_GBK"/>
                <w:sz w:val="24"/>
              </w:rPr>
            </w:pPr>
            <w:r>
              <w:rPr>
                <w:rFonts w:ascii="Times New Roman" w:hAnsi="Times New Roman" w:eastAsia="方正仿宋_GBK"/>
                <w:sz w:val="24"/>
              </w:rPr>
              <w:t>账</w:t>
            </w:r>
            <w:r>
              <w:rPr>
                <w:rFonts w:hint="eastAsia" w:ascii="Times New Roman" w:hAnsi="Times New Roman" w:eastAsia="方正仿宋_GBK"/>
                <w:sz w:val="24"/>
              </w:rPr>
              <w:t xml:space="preserve">    </w:t>
            </w:r>
            <w:r>
              <w:rPr>
                <w:rFonts w:ascii="Times New Roman" w:hAnsi="Times New Roman" w:eastAsia="方正仿宋_GBK"/>
                <w:sz w:val="24"/>
              </w:rPr>
              <w:t>号：</w:t>
            </w:r>
            <w:r>
              <w:rPr>
                <w:rFonts w:hint="eastAsia" w:ascii="Times New Roman" w:hAnsi="Times New Roman" w:eastAsia="方正仿宋_GBK"/>
                <w:sz w:val="24"/>
              </w:rPr>
              <w:t>20332012200100000327261</w:t>
            </w:r>
          </w:p>
        </w:tc>
        <w:tc>
          <w:tcPr>
            <w:tcW w:w="4675" w:type="dxa"/>
            <w:vAlign w:val="center"/>
          </w:tcPr>
          <w:p w14:paraId="6FD0A323">
            <w:pPr>
              <w:spacing w:before="120" w:line="400" w:lineRule="exact"/>
              <w:rPr>
                <w:rFonts w:ascii="Times New Roman" w:hAnsi="Times New Roman" w:eastAsia="方正仿宋_GBK"/>
                <w:sz w:val="24"/>
              </w:rPr>
            </w:pPr>
            <w:r>
              <w:rPr>
                <w:rFonts w:ascii="Times New Roman" w:hAnsi="Times New Roman" w:eastAsia="方正仿宋_GBK"/>
                <w:sz w:val="24"/>
              </w:rPr>
              <w:t>账号：</w:t>
            </w:r>
          </w:p>
        </w:tc>
      </w:tr>
    </w:tbl>
    <w:p w14:paraId="6EC3D4CF"/>
    <w:sectPr>
      <w:pgSz w:w="11906" w:h="16838"/>
      <w:pgMar w:top="1587" w:right="1361" w:bottom="1587" w:left="1531"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A13"/>
    <w:rsid w:val="000378C7"/>
    <w:rsid w:val="000F1894"/>
    <w:rsid w:val="00314339"/>
    <w:rsid w:val="00364571"/>
    <w:rsid w:val="004B3E36"/>
    <w:rsid w:val="004B6227"/>
    <w:rsid w:val="004D2A13"/>
    <w:rsid w:val="00675BDE"/>
    <w:rsid w:val="006B53ED"/>
    <w:rsid w:val="0070726C"/>
    <w:rsid w:val="00787BE7"/>
    <w:rsid w:val="00855390"/>
    <w:rsid w:val="008D26B7"/>
    <w:rsid w:val="008E7176"/>
    <w:rsid w:val="00904A1D"/>
    <w:rsid w:val="00A169B6"/>
    <w:rsid w:val="00A228FC"/>
    <w:rsid w:val="00A84154"/>
    <w:rsid w:val="00AC2977"/>
    <w:rsid w:val="00B05DFB"/>
    <w:rsid w:val="00B47EC1"/>
    <w:rsid w:val="00B67C3E"/>
    <w:rsid w:val="00B91168"/>
    <w:rsid w:val="00D55825"/>
    <w:rsid w:val="00DB483B"/>
    <w:rsid w:val="00EA0369"/>
    <w:rsid w:val="00F2693E"/>
    <w:rsid w:val="00F71ADB"/>
    <w:rsid w:val="00FA5C98"/>
    <w:rsid w:val="014B6370"/>
    <w:rsid w:val="08FF5BC7"/>
    <w:rsid w:val="1AF56EAE"/>
    <w:rsid w:val="44C73217"/>
    <w:rsid w:val="5CB246F7"/>
    <w:rsid w:val="63340B77"/>
    <w:rsid w:val="6D846E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Calibri" w:hAnsi="Calibri" w:eastAsia="宋体" w:cs="Times New Roman"/>
      <w:kern w:val="2"/>
      <w:sz w:val="21"/>
      <w:szCs w:val="24"/>
      <w:lang w:val="en-US" w:eastAsia="zh-CN" w:bidi="ar-SA"/>
      <w14:ligatures w14:val="none"/>
    </w:rPr>
  </w:style>
  <w:style w:type="paragraph" w:styleId="2">
    <w:name w:val="heading 1"/>
    <w:basedOn w:val="1"/>
    <w:next w:val="1"/>
    <w:link w:val="18"/>
    <w:qFormat/>
    <w:uiPriority w:val="9"/>
    <w:pPr>
      <w:keepNext/>
      <w:keepLines/>
      <w:spacing w:before="480" w:after="80" w:line="278" w:lineRule="auto"/>
      <w:jc w:val="left"/>
      <w:outlineLvl w:val="0"/>
    </w:pPr>
    <w:rPr>
      <w:rFonts w:asciiTheme="majorHAnsi" w:hAnsiTheme="majorHAnsi" w:eastAsiaTheme="majorEastAsia" w:cstheme="majorBidi"/>
      <w:color w:val="104862" w:themeColor="accent1" w:themeShade="BF"/>
      <w:sz w:val="48"/>
      <w:szCs w:val="48"/>
      <w14:ligatures w14:val="standardContextual"/>
    </w:rPr>
  </w:style>
  <w:style w:type="paragraph" w:styleId="3">
    <w:name w:val="heading 2"/>
    <w:basedOn w:val="1"/>
    <w:next w:val="1"/>
    <w:link w:val="19"/>
    <w:semiHidden/>
    <w:unhideWhenUsed/>
    <w:qFormat/>
    <w:uiPriority w:val="9"/>
    <w:pPr>
      <w:keepNext/>
      <w:keepLines/>
      <w:spacing w:before="160" w:after="80" w:line="278" w:lineRule="auto"/>
      <w:jc w:val="left"/>
      <w:outlineLvl w:val="1"/>
    </w:pPr>
    <w:rPr>
      <w:rFonts w:asciiTheme="majorHAnsi" w:hAnsiTheme="majorHAnsi" w:eastAsiaTheme="majorEastAsia" w:cstheme="majorBidi"/>
      <w:color w:val="104862" w:themeColor="accent1" w:themeShade="BF"/>
      <w:sz w:val="40"/>
      <w:szCs w:val="40"/>
      <w14:ligatures w14:val="standardContextual"/>
    </w:rPr>
  </w:style>
  <w:style w:type="paragraph" w:styleId="4">
    <w:name w:val="heading 3"/>
    <w:basedOn w:val="1"/>
    <w:next w:val="1"/>
    <w:link w:val="20"/>
    <w:semiHidden/>
    <w:unhideWhenUsed/>
    <w:qFormat/>
    <w:uiPriority w:val="9"/>
    <w:pPr>
      <w:keepNext/>
      <w:keepLines/>
      <w:spacing w:before="160" w:after="80" w:line="278" w:lineRule="auto"/>
      <w:jc w:val="left"/>
      <w:outlineLvl w:val="2"/>
    </w:pPr>
    <w:rPr>
      <w:rFonts w:asciiTheme="majorHAnsi" w:hAnsiTheme="majorHAnsi" w:eastAsiaTheme="majorEastAsia" w:cstheme="majorBidi"/>
      <w:color w:val="104862" w:themeColor="accent1" w:themeShade="BF"/>
      <w:sz w:val="32"/>
      <w:szCs w:val="32"/>
      <w14:ligatures w14:val="standardContextual"/>
    </w:rPr>
  </w:style>
  <w:style w:type="paragraph" w:styleId="5">
    <w:name w:val="heading 4"/>
    <w:basedOn w:val="1"/>
    <w:next w:val="1"/>
    <w:link w:val="21"/>
    <w:semiHidden/>
    <w:unhideWhenUsed/>
    <w:qFormat/>
    <w:uiPriority w:val="9"/>
    <w:pPr>
      <w:keepNext/>
      <w:keepLines/>
      <w:spacing w:before="80" w:after="40" w:line="278" w:lineRule="auto"/>
      <w:jc w:val="left"/>
      <w:outlineLvl w:val="3"/>
    </w:pPr>
    <w:rPr>
      <w:rFonts w:asciiTheme="minorHAnsi" w:hAnsiTheme="minorHAnsi" w:eastAsiaTheme="minorEastAsia" w:cstheme="majorBidi"/>
      <w:color w:val="104862" w:themeColor="accent1" w:themeShade="BF"/>
      <w:sz w:val="28"/>
      <w:szCs w:val="28"/>
      <w14:ligatures w14:val="standardContextual"/>
    </w:rPr>
  </w:style>
  <w:style w:type="paragraph" w:styleId="6">
    <w:name w:val="heading 5"/>
    <w:basedOn w:val="1"/>
    <w:next w:val="1"/>
    <w:link w:val="22"/>
    <w:semiHidden/>
    <w:unhideWhenUsed/>
    <w:qFormat/>
    <w:uiPriority w:val="9"/>
    <w:pPr>
      <w:keepNext/>
      <w:keepLines/>
      <w:spacing w:before="80" w:after="40" w:line="278" w:lineRule="auto"/>
      <w:jc w:val="left"/>
      <w:outlineLvl w:val="4"/>
    </w:pPr>
    <w:rPr>
      <w:rFonts w:asciiTheme="minorHAnsi" w:hAnsiTheme="minorHAnsi" w:eastAsiaTheme="minorEastAsia" w:cstheme="majorBidi"/>
      <w:color w:val="104862" w:themeColor="accent1" w:themeShade="BF"/>
      <w:sz w:val="24"/>
      <w14:ligatures w14:val="standardContextual"/>
    </w:rPr>
  </w:style>
  <w:style w:type="paragraph" w:styleId="7">
    <w:name w:val="heading 6"/>
    <w:basedOn w:val="1"/>
    <w:next w:val="1"/>
    <w:link w:val="23"/>
    <w:semiHidden/>
    <w:unhideWhenUsed/>
    <w:qFormat/>
    <w:uiPriority w:val="9"/>
    <w:pPr>
      <w:keepNext/>
      <w:keepLines/>
      <w:spacing w:before="40" w:line="278" w:lineRule="auto"/>
      <w:jc w:val="left"/>
      <w:outlineLvl w:val="5"/>
    </w:pPr>
    <w:rPr>
      <w:rFonts w:asciiTheme="minorHAnsi" w:hAnsiTheme="minorHAnsi" w:eastAsiaTheme="minorEastAsia" w:cstheme="majorBidi"/>
      <w:b/>
      <w:bCs/>
      <w:color w:val="104862" w:themeColor="accent1" w:themeShade="BF"/>
      <w:sz w:val="22"/>
      <w14:ligatures w14:val="standardContextual"/>
    </w:rPr>
  </w:style>
  <w:style w:type="paragraph" w:styleId="8">
    <w:name w:val="heading 7"/>
    <w:basedOn w:val="1"/>
    <w:next w:val="1"/>
    <w:link w:val="24"/>
    <w:semiHidden/>
    <w:unhideWhenUsed/>
    <w:qFormat/>
    <w:uiPriority w:val="9"/>
    <w:pPr>
      <w:keepNext/>
      <w:keepLines/>
      <w:spacing w:before="40" w:line="278" w:lineRule="auto"/>
      <w:jc w:val="left"/>
      <w:outlineLvl w:val="6"/>
    </w:pPr>
    <w:rPr>
      <w:rFonts w:asciiTheme="minorHAnsi" w:hAnsiTheme="minorHAnsi" w:eastAsiaTheme="minorEastAsia" w:cstheme="majorBidi"/>
      <w:b/>
      <w:bCs/>
      <w:color w:val="595959" w:themeColor="text1" w:themeTint="A6"/>
      <w:sz w:val="22"/>
      <w14:textFill>
        <w14:solidFill>
          <w14:schemeClr w14:val="tx1">
            <w14:lumMod w14:val="65000"/>
            <w14:lumOff w14:val="35000"/>
          </w14:schemeClr>
        </w14:solidFill>
      </w14:textFill>
      <w14:ligatures w14:val="standardContextual"/>
    </w:rPr>
  </w:style>
  <w:style w:type="paragraph" w:styleId="9">
    <w:name w:val="heading 8"/>
    <w:basedOn w:val="1"/>
    <w:next w:val="1"/>
    <w:link w:val="25"/>
    <w:semiHidden/>
    <w:unhideWhenUsed/>
    <w:qFormat/>
    <w:uiPriority w:val="9"/>
    <w:pPr>
      <w:keepNext/>
      <w:keepLines/>
      <w:spacing w:line="278" w:lineRule="auto"/>
      <w:jc w:val="left"/>
      <w:outlineLvl w:val="7"/>
    </w:pPr>
    <w:rPr>
      <w:rFonts w:asciiTheme="minorHAnsi" w:hAnsiTheme="minorHAnsi" w:eastAsiaTheme="min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paragraph" w:styleId="10">
    <w:name w:val="heading 9"/>
    <w:basedOn w:val="1"/>
    <w:next w:val="1"/>
    <w:link w:val="26"/>
    <w:semiHidden/>
    <w:unhideWhenUsed/>
    <w:qFormat/>
    <w:uiPriority w:val="9"/>
    <w:pPr>
      <w:keepNext/>
      <w:keepLines/>
      <w:spacing w:line="278" w:lineRule="auto"/>
      <w:jc w:val="left"/>
      <w:outlineLvl w:val="8"/>
    </w:pPr>
    <w:rPr>
      <w:rFonts w:asciiTheme="minorHAnsi" w:hAnsiTheme="minorHAnsi" w:eastAsiaTheme="maj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Body Text"/>
    <w:basedOn w:val="1"/>
    <w:link w:val="38"/>
    <w:qFormat/>
    <w:uiPriority w:val="1"/>
    <w:rPr>
      <w:sz w:val="24"/>
    </w:rPr>
  </w:style>
  <w:style w:type="paragraph" w:styleId="12">
    <w:name w:val="footer"/>
    <w:basedOn w:val="1"/>
    <w:link w:val="37"/>
    <w:unhideWhenUsed/>
    <w:qFormat/>
    <w:uiPriority w:val="99"/>
    <w:pPr>
      <w:tabs>
        <w:tab w:val="center" w:pos="4153"/>
        <w:tab w:val="right" w:pos="8306"/>
      </w:tabs>
      <w:snapToGrid w:val="0"/>
      <w:spacing w:after="160"/>
      <w:jc w:val="left"/>
    </w:pPr>
    <w:rPr>
      <w:rFonts w:asciiTheme="minorHAnsi" w:hAnsiTheme="minorHAnsi" w:eastAsiaTheme="minorEastAsia" w:cstheme="minorBidi"/>
      <w:sz w:val="18"/>
      <w:szCs w:val="18"/>
      <w14:ligatures w14:val="standardContextual"/>
    </w:rPr>
  </w:style>
  <w:style w:type="paragraph" w:styleId="13">
    <w:name w:val="header"/>
    <w:basedOn w:val="1"/>
    <w:link w:val="36"/>
    <w:unhideWhenUsed/>
    <w:qFormat/>
    <w:uiPriority w:val="99"/>
    <w:pPr>
      <w:tabs>
        <w:tab w:val="center" w:pos="4153"/>
        <w:tab w:val="right" w:pos="8306"/>
      </w:tabs>
      <w:snapToGrid w:val="0"/>
      <w:spacing w:after="160"/>
      <w:jc w:val="center"/>
    </w:pPr>
    <w:rPr>
      <w:rFonts w:asciiTheme="minorHAnsi" w:hAnsiTheme="minorHAnsi" w:eastAsiaTheme="minorEastAsia" w:cstheme="minorBidi"/>
      <w:sz w:val="18"/>
      <w:szCs w:val="18"/>
      <w14:ligatures w14:val="standardContextual"/>
    </w:rPr>
  </w:style>
  <w:style w:type="paragraph" w:styleId="14">
    <w:name w:val="Subtitle"/>
    <w:basedOn w:val="1"/>
    <w:next w:val="1"/>
    <w:link w:val="28"/>
    <w:qFormat/>
    <w:uiPriority w:val="11"/>
    <w:pPr>
      <w:spacing w:after="160" w:line="278" w:lineRule="auto"/>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5">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14:ligatures w14:val="standardContextual"/>
    </w:rPr>
  </w:style>
  <w:style w:type="character" w:customStyle="1" w:styleId="18">
    <w:name w:val="标题 1 字符"/>
    <w:basedOn w:val="17"/>
    <w:link w:val="2"/>
    <w:qFormat/>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5"/>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4"/>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after="160" w:line="278" w:lineRule="auto"/>
      <w:jc w:val="center"/>
    </w:pPr>
    <w:rPr>
      <w:rFonts w:asciiTheme="minorHAnsi" w:hAnsiTheme="minorHAnsi" w:eastAsiaTheme="minorEastAsia" w:cstheme="minorBidi"/>
      <w:i/>
      <w:iCs/>
      <w:color w:val="404040" w:themeColor="text1" w:themeTint="BF"/>
      <w:sz w:val="22"/>
      <w14:textFill>
        <w14:solidFill>
          <w14:schemeClr w14:val="tx1">
            <w14:lumMod w14:val="75000"/>
            <w14:lumOff w14:val="25000"/>
          </w14:schemeClr>
        </w14:solidFill>
      </w14:textFill>
      <w14:ligatures w14:val="standardContextua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spacing w:after="160" w:line="278" w:lineRule="auto"/>
      <w:ind w:left="720"/>
      <w:contextualSpacing/>
      <w:jc w:val="left"/>
    </w:pPr>
    <w:rPr>
      <w:rFonts w:asciiTheme="minorHAnsi" w:hAnsiTheme="minorHAnsi" w:eastAsiaTheme="minorEastAsia" w:cstheme="minorBidi"/>
      <w:sz w:val="22"/>
      <w14:ligatures w14:val="standardContextual"/>
    </w:r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line="278" w:lineRule="auto"/>
      <w:ind w:left="864" w:right="864"/>
      <w:jc w:val="center"/>
    </w:pPr>
    <w:rPr>
      <w:rFonts w:asciiTheme="minorHAnsi" w:hAnsiTheme="minorHAnsi" w:eastAsiaTheme="minorEastAsia" w:cstheme="minorBidi"/>
      <w:i/>
      <w:iCs/>
      <w:color w:val="104862" w:themeColor="accent1" w:themeShade="BF"/>
      <w:sz w:val="22"/>
      <w14:ligatures w14:val="standardContextual"/>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character" w:customStyle="1" w:styleId="36">
    <w:name w:val="页眉 字符"/>
    <w:basedOn w:val="17"/>
    <w:link w:val="13"/>
    <w:qFormat/>
    <w:uiPriority w:val="99"/>
    <w:rPr>
      <w:sz w:val="18"/>
      <w:szCs w:val="18"/>
    </w:rPr>
  </w:style>
  <w:style w:type="character" w:customStyle="1" w:styleId="37">
    <w:name w:val="页脚 字符"/>
    <w:basedOn w:val="17"/>
    <w:link w:val="12"/>
    <w:qFormat/>
    <w:uiPriority w:val="99"/>
    <w:rPr>
      <w:sz w:val="18"/>
      <w:szCs w:val="18"/>
    </w:rPr>
  </w:style>
  <w:style w:type="character" w:customStyle="1" w:styleId="38">
    <w:name w:val="正文文本 字符"/>
    <w:basedOn w:val="17"/>
    <w:link w:val="11"/>
    <w:qFormat/>
    <w:uiPriority w:val="1"/>
    <w:rPr>
      <w:rFonts w:ascii="Calibri" w:hAnsi="Calibri" w:eastAsia="宋体" w:cs="Times New Roman"/>
      <w:sz w:val="24"/>
      <w14:ligatures w14: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2680</Words>
  <Characters>2852</Characters>
  <Lines>69</Lines>
  <Paragraphs>55</Paragraphs>
  <TotalTime>31</TotalTime>
  <ScaleCrop>false</ScaleCrop>
  <LinksUpToDate>false</LinksUpToDate>
  <CharactersWithSpaces>2952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2025-12-09T01:44:00Z</dcterms:created>
  <dc:creator>t Teng</dc:creator>
  <cp:lastModifiedBy>小芹</cp:lastModifiedBy>
  <cp:lastPrinted>2026-01-21T06:56:00Z</cp:lastPrinted>
  <dcterms:modified xsi:type="dcterms:W3CDTF">2026-01-21T07:09:33Z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eyJoZGlkIjoiZmMxNTcyMDIwYzRmNDJkYzY1ZmE4YWM4NDNiMzViYjIiLCJ1c2VySWQiOiIyNzU1NDk0MDcifQ==</vt:lpwstr>
  </property>
  <property fmtid="{D5CDD505-2E9C-101B-9397-08002B2CF9AE}" pid="3" name="KSOProductBuildVer">
    <vt:lpwstr>2052-12.1.0.24657</vt:lpwstr>
  </property>
  <property fmtid="{D5CDD505-2E9C-101B-9397-08002B2CF9AE}" pid="4" name="ICV">
    <vt:lpwstr>791C88F738284975A1B5CA935AE0578C_13</vt:lpwstr>
  </property>
</Properties>
</file>