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384DDB">
      <w:pPr>
        <w:spacing w:line="590" w:lineRule="exact"/>
        <w:jc w:val="right"/>
        <w:rPr>
          <w:rFonts w:hint="default" w:ascii="Times New Roman Regular" w:hAnsi="Times New Roman Regular" w:eastAsia="方正仿宋_GBK" w:cs="Times New Roman Regular"/>
          <w:sz w:val="32"/>
          <w:szCs w:val="32"/>
          <w:highlight w:val="none"/>
          <w:u w:val="single"/>
          <w:lang w:val="en-US" w:eastAsia="zh-CN"/>
        </w:rPr>
      </w:pPr>
      <w:r>
        <w:rPr>
          <w:rFonts w:hint="default" w:ascii="Times New Roman Regular" w:hAnsi="Times New Roman Regular" w:eastAsia="方正仿宋_GBK" w:cs="Times New Roman Regular"/>
          <w:sz w:val="32"/>
          <w:szCs w:val="32"/>
          <w:highlight w:val="none"/>
        </w:rPr>
        <w:t>合同号：SCBL</w:t>
      </w:r>
      <w:r>
        <w:rPr>
          <w:rFonts w:hint="default" w:ascii="Times New Roman Regular" w:hAnsi="Times New Roman Regular" w:eastAsia="方正仿宋_GBK" w:cs="Times New Roman Regular"/>
          <w:sz w:val="32"/>
          <w:szCs w:val="32"/>
          <w:highlight w:val="none"/>
          <w:u w:val="single"/>
          <w:lang w:val="en-US" w:eastAsia="zh-CN"/>
        </w:rPr>
        <w:t>DG</w:t>
      </w:r>
      <w:r>
        <w:rPr>
          <w:rFonts w:hint="default" w:ascii="Times New Roman Regular" w:hAnsi="Times New Roman Regular" w:eastAsia="方正仿宋_GBK" w:cs="Times New Roman Regular"/>
          <w:sz w:val="32"/>
          <w:szCs w:val="32"/>
          <w:highlight w:val="none"/>
        </w:rPr>
        <w:t>2025</w:t>
      </w:r>
      <w:r>
        <w:rPr>
          <w:rFonts w:hint="eastAsia" w:ascii="Times New Roman Regular" w:hAnsi="Times New Roman Regular" w:eastAsia="方正仿宋_GBK" w:cs="Times New Roman Regular"/>
          <w:sz w:val="32"/>
          <w:szCs w:val="32"/>
          <w:highlight w:val="none"/>
          <w:u w:val="single"/>
          <w:lang w:val="en-US" w:eastAsia="zh-CN"/>
        </w:rPr>
        <w:t>1121</w:t>
      </w:r>
      <w:r>
        <w:rPr>
          <w:rFonts w:hint="default" w:ascii="Times New Roman Regular" w:hAnsi="Times New Roman Regular" w:cs="Times New Roman Regular"/>
          <w:highlight w:val="none"/>
          <w:u w:val="single"/>
          <w:lang w:val="en-US" w:eastAsia="zh-CN"/>
        </w:rPr>
        <w:t>-</w:t>
      </w:r>
      <w:r>
        <w:rPr>
          <w:rFonts w:hint="default" w:ascii="Times New Roman Regular" w:hAnsi="Times New Roman Regular" w:eastAsia="方正仿宋_GBK" w:cs="Times New Roman Regular"/>
          <w:sz w:val="32"/>
          <w:szCs w:val="32"/>
          <w:highlight w:val="none"/>
          <w:u w:val="single"/>
          <w:lang w:val="en-US" w:eastAsia="zh-CN"/>
        </w:rPr>
        <w:t>0</w:t>
      </w:r>
      <w:r>
        <w:rPr>
          <w:rFonts w:hint="eastAsia" w:ascii="Times New Roman Regular" w:hAnsi="Times New Roman Regular" w:eastAsia="方正仿宋_GBK" w:cs="Times New Roman Regular"/>
          <w:sz w:val="32"/>
          <w:szCs w:val="32"/>
          <w:highlight w:val="none"/>
          <w:u w:val="single"/>
          <w:lang w:val="en-US" w:eastAsia="zh-CN"/>
        </w:rPr>
        <w:t>*</w:t>
      </w:r>
    </w:p>
    <w:p w14:paraId="76F7A21D">
      <w:pPr>
        <w:spacing w:line="590" w:lineRule="exact"/>
        <w:jc w:val="right"/>
        <w:rPr>
          <w:rFonts w:hint="default" w:ascii="Times New Roman Regular" w:hAnsi="Times New Roman Regular" w:eastAsia="方正仿宋_GBK" w:cs="Times New Roman Regular"/>
          <w:sz w:val="32"/>
          <w:szCs w:val="32"/>
          <w:highlight w:val="none"/>
          <w:lang w:val="en-US" w:eastAsia="zh-CN"/>
        </w:rPr>
      </w:pPr>
    </w:p>
    <w:p w14:paraId="1978B4E6">
      <w:pPr>
        <w:spacing w:line="590" w:lineRule="exact"/>
        <w:jc w:val="center"/>
        <w:rPr>
          <w:rFonts w:hint="default" w:ascii="Times New Roman Regular" w:hAnsi="Times New Roman Regular" w:eastAsia="方正小标宋_GBK" w:cs="Times New Roman Regular"/>
          <w:b/>
          <w:bCs/>
          <w:sz w:val="44"/>
          <w:szCs w:val="44"/>
          <w:highlight w:val="none"/>
        </w:rPr>
      </w:pPr>
      <w:r>
        <w:rPr>
          <w:rFonts w:hint="default" w:ascii="Times New Roman Regular" w:hAnsi="Times New Roman Regular" w:eastAsia="方正小标宋_GBK" w:cs="Times New Roman Regular"/>
          <w:b w:val="0"/>
          <w:bCs w:val="0"/>
          <w:sz w:val="44"/>
          <w:szCs w:val="44"/>
          <w:highlight w:val="none"/>
          <w:u w:val="none"/>
          <w:lang w:val="en-US" w:eastAsia="zh-CN"/>
        </w:rPr>
        <w:t>稻谷</w:t>
      </w:r>
      <w:r>
        <w:rPr>
          <w:rFonts w:hint="default" w:ascii="Times New Roman Regular" w:hAnsi="Times New Roman Regular" w:eastAsia="方正小标宋_GBK" w:cs="Times New Roman Regular"/>
          <w:b w:val="0"/>
          <w:bCs w:val="0"/>
          <w:sz w:val="44"/>
          <w:szCs w:val="44"/>
          <w:highlight w:val="none"/>
        </w:rPr>
        <w:t>购销合作合同</w:t>
      </w:r>
    </w:p>
    <w:p w14:paraId="46C08D62">
      <w:pPr>
        <w:spacing w:line="590" w:lineRule="exact"/>
        <w:jc w:val="center"/>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sz w:val="32"/>
          <w:szCs w:val="32"/>
          <w:highlight w:val="none"/>
        </w:rPr>
        <w:t>（以采竞销）</w:t>
      </w:r>
    </w:p>
    <w:p w14:paraId="7188A88F">
      <w:pPr>
        <w:widowControl/>
        <w:spacing w:line="590" w:lineRule="exact"/>
        <w:jc w:val="left"/>
        <w:rPr>
          <w:rFonts w:hint="default" w:ascii="Times New Roman Regular" w:hAnsi="Times New Roman Regular" w:eastAsia="方正仿宋_GBK" w:cs="Times New Roman Regular"/>
          <w:sz w:val="32"/>
          <w:szCs w:val="32"/>
          <w:highlight w:val="none"/>
          <w:u w:val="single"/>
        </w:rPr>
      </w:pPr>
      <w:r>
        <w:rPr>
          <w:rFonts w:hint="default" w:ascii="Times New Roman Regular" w:hAnsi="Times New Roman Regular" w:eastAsia="方正仿宋_GBK" w:cs="Times New Roman Regular"/>
          <w:color w:val="000000"/>
          <w:kern w:val="0"/>
          <w:sz w:val="32"/>
          <w:szCs w:val="32"/>
          <w:highlight w:val="none"/>
          <w:lang w:bidi="ar"/>
        </w:rPr>
        <w:t>甲方 ：</w:t>
      </w:r>
      <w:r>
        <w:rPr>
          <w:rFonts w:hint="default" w:ascii="Times New Roman Regular" w:hAnsi="Times New Roman Regular" w:eastAsia="方正仿宋_GBK" w:cs="Times New Roman Regular"/>
          <w:sz w:val="32"/>
          <w:szCs w:val="32"/>
          <w:highlight w:val="none"/>
          <w:u w:val="single"/>
        </w:rPr>
        <w:t>江苏省碾庄陇海粮食储备库有限公司</w:t>
      </w:r>
    </w:p>
    <w:p w14:paraId="22B7624C">
      <w:pPr>
        <w:widowControl/>
        <w:spacing w:line="590" w:lineRule="exact"/>
        <w:jc w:val="left"/>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pPr>
      <w:r>
        <w:rPr>
          <w:rFonts w:hint="default" w:ascii="Times New Roman Regular" w:hAnsi="Times New Roman Regular" w:eastAsia="方正仿宋_GBK" w:cs="Times New Roman Regular"/>
          <w:color w:val="000000"/>
          <w:kern w:val="0"/>
          <w:sz w:val="32"/>
          <w:szCs w:val="32"/>
          <w:highlight w:val="none"/>
          <w:lang w:bidi="ar"/>
        </w:rPr>
        <w:t>乙方 ：</w:t>
      </w:r>
      <w:r>
        <w:rPr>
          <w:rFonts w:hint="default" w:ascii="Times New Roman Regular" w:hAnsi="Times New Roman Regular" w:eastAsia="方正仿宋_GBK" w:cs="Times New Roman Regular"/>
          <w:color w:val="000000"/>
          <w:kern w:val="0"/>
          <w:sz w:val="32"/>
          <w:szCs w:val="32"/>
          <w:highlight w:val="none"/>
          <w:u w:val="single"/>
          <w:lang w:bidi="ar"/>
        </w:rPr>
        <w:t xml:space="preserve"> </w:t>
      </w:r>
      <w:r>
        <w:rPr>
          <w:rFonts w:hint="eastAsia" w:ascii="Times New Roman Regular" w:hAnsi="Times New Roman Regular" w:eastAsia="方正仿宋_GBK" w:cs="Times New Roman Regular"/>
          <w:color w:val="000000"/>
          <w:kern w:val="0"/>
          <w:sz w:val="32"/>
          <w:szCs w:val="32"/>
          <w:highlight w:val="none"/>
          <w:u w:val="single"/>
          <w:lang w:val="en-US" w:eastAsia="zh-CN" w:bidi="ar"/>
        </w:rPr>
        <w:t xml:space="preserve">                           </w:t>
      </w:r>
    </w:p>
    <w:p w14:paraId="7042CA42">
      <w:pPr>
        <w:spacing w:line="590" w:lineRule="exact"/>
        <w:ind w:firstLine="480" w:firstLineChars="15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为充分发挥各自优势，合理配置粮源，依据江苏粮油商品交易市场（以下简称江苏市场）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竞价结果，就甲方采购乙方2025年产</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粳稻**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u w:color="FFFFFF"/>
          <w14:textFill>
            <w14:solidFill>
              <w14:schemeClr w14:val="tx1"/>
            </w14:solidFill>
          </w14:textFill>
        </w:rPr>
        <w:t>，同</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时由乙方根据甲方的出库时间要求负责全部回购，达成以下协议：</w:t>
      </w:r>
    </w:p>
    <w:p w14:paraId="312B7C6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甲方采购</w:t>
      </w:r>
      <w:r>
        <w:rPr>
          <w:rFonts w:hint="eastAsia" w:ascii="Times New Roman Regular" w:hAnsi="Times New Roman Regular" w:eastAsia="方正黑体_GBK" w:cs="Times New Roman Regular"/>
          <w:color w:val="000000"/>
          <w:kern w:val="0"/>
          <w:sz w:val="32"/>
          <w:szCs w:val="32"/>
          <w:highlight w:val="none"/>
          <w:lang w:val="en-US" w:eastAsia="zh-CN" w:bidi="ar"/>
        </w:rPr>
        <w:t>事项</w:t>
      </w:r>
    </w:p>
    <w:p w14:paraId="4D563F36">
      <w:pPr>
        <w:spacing w:line="590" w:lineRule="exact"/>
        <w:ind w:firstLine="640" w:firstLineChars="200"/>
        <w:jc w:val="left"/>
        <w:rPr>
          <w:rFonts w:hint="eastAsia"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t>甲方采购乙方</w:t>
      </w:r>
      <w:r>
        <w:rPr>
          <w:rFonts w:hint="default" w:ascii="Times New Roman Regular" w:hAnsi="Times New Roman Regular" w:eastAsia="方正仿宋_GBK" w:cs="Times New Roman Regular"/>
          <w:color w:val="000000" w:themeColor="text1"/>
          <w:sz w:val="32"/>
          <w:szCs w:val="32"/>
          <w:highlight w:val="none"/>
          <w:u w:val="single"/>
          <w:lang w:bidi="ar"/>
          <w14:textFill>
            <w14:solidFill>
              <w14:schemeClr w14:val="tx1"/>
            </w14:solidFill>
          </w14:textFill>
        </w:rPr>
        <w:t>2025</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年产</w:t>
      </w:r>
      <w:r>
        <w:rPr>
          <w:rFonts w:hint="eastAsia" w:ascii="Times New Roman Regular" w:hAnsi="Times New Roman Regular" w:eastAsia="方正仿宋_GBK" w:cs="Times New Roman Regular"/>
          <w:color w:val="000000" w:themeColor="text1"/>
          <w:kern w:val="2"/>
          <w:sz w:val="32"/>
          <w:szCs w:val="32"/>
          <w:highlight w:val="none"/>
          <w:u w:val="single"/>
          <w:lang w:val="en-US" w:eastAsia="zh-CN" w:bidi="ar"/>
          <w14:textFill>
            <w14:solidFill>
              <w14:schemeClr w14:val="tx1"/>
            </w14:solidFill>
          </w14:textFill>
        </w:rPr>
        <w:t>粳稻**</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吨</w:t>
      </w:r>
      <w:r>
        <w:rPr>
          <w:rFonts w:hint="default" w:ascii="Times New Roman Regular" w:hAnsi="Times New Roman Regular" w:eastAsia="方正仿宋_GBK" w:cs="Times New Roman Regular"/>
          <w:color w:val="000000" w:themeColor="text1"/>
          <w:kern w:val="2"/>
          <w:sz w:val="32"/>
          <w:szCs w:val="32"/>
          <w:highlight w:val="none"/>
          <w:lang w:eastAsia="zh-CN" w:bidi="ar"/>
          <w14:textFill>
            <w14:solidFill>
              <w14:schemeClr w14:val="tx1"/>
            </w14:solidFill>
          </w14:textFill>
        </w:rPr>
        <w:t>：</w:t>
      </w:r>
    </w:p>
    <w:p w14:paraId="00C3D090">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1.入库时间：在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12</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前完成入库粮食</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吨。具体仓号、数量以粮食入库后双方书面确认单为准。</w:t>
      </w:r>
    </w:p>
    <w:p w14:paraId="7324E4E6">
      <w:pPr>
        <w:tabs>
          <w:tab w:val="left" w:pos="1305"/>
        </w:tabs>
        <w:adjustRightInd w:val="0"/>
        <w:snapToGrid w:val="0"/>
        <w:spacing w:line="590" w:lineRule="exact"/>
        <w:ind w:right="630" w:rightChars="300" w:firstLine="640" w:firstLineChars="200"/>
        <w:rPr>
          <w:rFonts w:hint="default" w:ascii="Times New Roman Regular" w:hAnsi="Times New Roman Regular" w:eastAsia="方正仿宋_GBK" w:cs="Times New Roman Regular"/>
          <w:color w:val="000000" w:themeColor="text1"/>
          <w:sz w:val="32"/>
          <w:szCs w:val="32"/>
          <w:highlight w:val="none"/>
          <w:u w:val="single"/>
          <w:lang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2.交货地点：</w:t>
      </w:r>
      <w:r>
        <w:rPr>
          <w:rFonts w:hint="default" w:ascii="Times New Roman Regular" w:hAnsi="Times New Roman Regular" w:eastAsia="方正仿宋_GBK" w:cs="Times New Roman Regular"/>
          <w:sz w:val="32"/>
          <w:szCs w:val="32"/>
          <w:highlight w:val="none"/>
          <w:u w:val="single"/>
        </w:rPr>
        <w:t>江苏省碾庄陇海粮食储备库有限公司</w:t>
      </w:r>
      <w:r>
        <w:rPr>
          <w:rFonts w:hint="default" w:ascii="Times New Roman Regular" w:hAnsi="Times New Roman Regular" w:eastAsia="方正仿宋_GBK" w:cs="Times New Roman Regular"/>
          <w:sz w:val="32"/>
          <w:szCs w:val="32"/>
          <w:highlight w:val="none"/>
          <w:u w:val="single"/>
          <w:lang w:eastAsia="zh-CN"/>
        </w:rPr>
        <w:t>。</w:t>
      </w:r>
    </w:p>
    <w:p w14:paraId="696E3B6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3.入库价格：设定初始采购价为</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2900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元/吨（甲方散装自卸车板价）。为保证储备粮按时轮入和市场价接轨，允许入库价格根据市场价格进行调整，以甲方和</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双方价格确认书为准，最终入库价格以单仓为单位，以单仓入库平均价格确定为入库价格。</w:t>
      </w:r>
    </w:p>
    <w:p w14:paraId="44EA8AF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4.入库方式：由乙方组织供货。</w:t>
      </w:r>
    </w:p>
    <w:p w14:paraId="74E1A1FB">
      <w:pPr>
        <w:spacing w:line="590" w:lineRule="exact"/>
        <w:ind w:right="60"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5.入库质量要求：2025年度江苏产粳稻，符合国标三等及以上标准，要求水分≤14.5%，每高 0.5%，扣量0.65%；高不足0.5%的，不计增扣量；水分&gt;15.0%有权拒收；出米率≥66.0%,低于66%拒收；要求杂质≤1.0%，若杂质1.0%&lt;杂质≤2.0%，过筛回杂(过筛入库，筛下物由卖方带回，整理费用以事前商定一致为准)，杂质&gt;2.0%原则上拒收;色泽气味正常，无黄粒米，其他质量指标达到国家规定中等标准以上；品质指标宜存，黄曲霉毒素 B1＜10ug/kg，铅含量＜0.2mg/kg，镉含量＜0.2mg/kg，其他食品安全卫生指标符合国家食品卫生指标标准，超过规定标准的买方有权拒收</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供货的粮食不得为陈粮或其他储备轮换粮。</w:t>
      </w:r>
    </w:p>
    <w:p w14:paraId="0F10173E">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6.验收办法：</w:t>
      </w:r>
    </w:p>
    <w:p w14:paraId="77585F24">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（1）质量确认：入库时双方在交货地验质，如对检验方法、标准或质量结果有异议，可委托有资质的</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粮食</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检验机构检验，检验费用由异议提出方先行支付，异议成立的，最终由被异议方承担。</w:t>
      </w:r>
    </w:p>
    <w:p w14:paraId="1446DC1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（2）数量确认：以交货库点地磅称重为准，乙方应当派人监磅，并对数量进行确认。</w:t>
      </w:r>
      <w:r>
        <w:rPr>
          <w:rFonts w:hint="default" w:ascii="Times New Roman Regular" w:hAnsi="Times New Roman Regular" w:eastAsia="方正仿宋_GBK" w:cs="Times New Roman Regular"/>
          <w:sz w:val="32"/>
          <w:szCs w:val="32"/>
          <w:highlight w:val="none"/>
        </w:rPr>
        <w:t>乙方如未派人监磅视为认可过磅数量。</w:t>
      </w:r>
    </w:p>
    <w:p w14:paraId="7D7558E8">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（3）乙方如有数量、质量异议应在入库卸货前提出，逾期未提异议的视为交付合格。</w:t>
      </w:r>
    </w:p>
    <w:p w14:paraId="19E0A93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（4）粮食入库后，甲乙双方须对入库粮食的存储仓号、数量、质量、价格等进行书面确认。</w:t>
      </w:r>
    </w:p>
    <w:p w14:paraId="5AC8F41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乙方回购事项</w:t>
      </w:r>
    </w:p>
    <w:p w14:paraId="6A49881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7</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7</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9</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月出库</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（甲方按照省级储备粮月末库存不低于总量70%开展轮换。</w:t>
      </w:r>
      <w:r>
        <w:rPr>
          <w:rFonts w:hint="default" w:ascii="Times New Roman Regular" w:hAnsi="Times New Roman Regular" w:eastAsia="方正仿宋_GBK" w:cs="Times New Roman Regular"/>
          <w:color w:val="000000"/>
          <w:kern w:val="2"/>
          <w:sz w:val="32"/>
          <w:szCs w:val="32"/>
          <w:highlight w:val="none"/>
          <w:lang w:bidi="ar"/>
        </w:rPr>
        <w:t>销售段的提货</w:t>
      </w:r>
      <w:r>
        <w:rPr>
          <w:rFonts w:hint="eastAsia" w:ascii="Times New Roman Regular" w:hAnsi="Times New Roman Regular" w:eastAsia="方正仿宋_GBK" w:cs="Times New Roman Regular"/>
          <w:color w:val="000000"/>
          <w:kern w:val="2"/>
          <w:sz w:val="32"/>
          <w:szCs w:val="32"/>
          <w:highlight w:val="none"/>
          <w:lang w:val="en-US" w:eastAsia="zh-CN" w:bidi="ar"/>
        </w:rPr>
        <w:t>须</w:t>
      </w:r>
      <w:r>
        <w:rPr>
          <w:rFonts w:hint="default" w:ascii="Times New Roman Regular" w:hAnsi="Times New Roman Regular" w:eastAsia="方正仿宋_GBK" w:cs="Times New Roman Regular"/>
          <w:color w:val="000000"/>
          <w:kern w:val="2"/>
          <w:sz w:val="32"/>
          <w:szCs w:val="32"/>
          <w:highlight w:val="none"/>
          <w:lang w:bidi="ar"/>
        </w:rPr>
        <w:t>在获得储备粮轮出批复后才生效</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如合同中的储备粮被政府调用，本次购销合作双向交易中的销售合同终止履行，乙方不得强求甲方履行合同或要求甲方承担违约责任，乙方的权益按照“五、3”条款中内容补偿。）</w:t>
      </w:r>
    </w:p>
    <w:p w14:paraId="21F619B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2.根据竞价交易结果，在设定初始采购价</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2900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元/吨基础上的回购价格及价差，即</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仓库车板价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元/吨（本处价格由竞价交易产生）。若实际入库价格调整，乙方回购的最终销售价=成交价-设定初始采购价+入库平均价格。(最终销售价高于成交价时，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双方签订补充协议，超出部分的货款在线下完成收付）</w:t>
      </w:r>
    </w:p>
    <w:p w14:paraId="79447E81">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3.回购粮食数量以入库数量为准，以单个仓房为单位，双方按照保管账面数结算，合理损耗部分由乙方承担。</w:t>
      </w:r>
    </w:p>
    <w:p w14:paraId="53B6079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4.回购粮食质量以在库粮食质量为准，甲方提供符合相关规定的检验报告。</w:t>
      </w:r>
    </w:p>
    <w:p w14:paraId="094DCE8D">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合同定金及保证金的支付与退还</w:t>
      </w:r>
    </w:p>
    <w:p w14:paraId="08F9AE86">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1.乙方除向江苏市场等第三方缴纳规定的交易保证金外，</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先向甲方交纳合同定金100元/吨，定金交付后，交易系统内的购、销双向交易合同正式生效，该项定金适用于双倍罚则。</w:t>
      </w:r>
    </w:p>
    <w:p w14:paraId="6DA9001A">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按货款金额的10</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向甲方缴纳风险保证金（包含乙方向省交易市场缴纳的销售交易保证金10元/吨）。甲方根据收购入库进度分批次收取风险保证金，合同定金可转为风险保证金。风险保证金不计利息，在乙方回购阶段以单仓为单位最后一批粮食出库后退回至乙方。如</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保证金不能覆盖因价格波动导致的市场价差</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乙方保证金归甲方所有，合同终止。</w:t>
      </w:r>
    </w:p>
    <w:p w14:paraId="0775D2D8">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3.采购合同项下，</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双方自主交割，甲方在规定的合同入库期限（</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12</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日前</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）内按到货进度付款，采购合同交割期截止日以清单为准，采购合同完成率</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原则上</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达到100%</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最终数量</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以甲方与乙方签订的数量质量价格确认单为准，乙方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提供相应增值税发票后方可确认交易完成。双方交收完毕后江苏市场凭双方签订的采购确认单等有效文件清退定金。</w:t>
      </w:r>
    </w:p>
    <w:p w14:paraId="4E266370">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4.销售合同项下，在合同交割期内，乙方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将货款汇至江苏市场账户（与保证金账户一致）并在系统申请开具出库通知单，凭市场出库单及身份证明到甲方提货。销售粮食交收完毕，甲乙双方在系统签订</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验收确认单</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后，江苏市场退还乙方扣除手续费部分的保证金（与中标结果数量、价格差异部分由甲方与乙方按实结算）。</w:t>
      </w:r>
    </w:p>
    <w:p w14:paraId="1BBDC33C">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合同履约结束后，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双方无任何经济纠纷</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的前提下</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，甲方应及时退还乙方尚未冲抵的风险保证金。</w:t>
      </w:r>
    </w:p>
    <w:p w14:paraId="31C197A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费用结算和发票开具</w:t>
      </w:r>
    </w:p>
    <w:p w14:paraId="6AE3C4F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1.入库结算：甲方按照到货进度付款</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乙方向甲方开具相应的增值税发票。</w:t>
      </w:r>
    </w:p>
    <w:p w14:paraId="3F076B9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2.销售结算：乙方根据甲方通知，先款后货，凭出库通知单提货，甲方向乙方开具相应的增值税发票。</w:t>
      </w:r>
    </w:p>
    <w:p w14:paraId="1AB7DE2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3.进出库费用：乙方</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承担</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进库时仓库散装车板前费用（包括但不限于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过筛费、整理费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等）</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出库时仓库散装车板后费用。</w:t>
      </w:r>
    </w:p>
    <w:p w14:paraId="1AD2EEB1">
      <w:pPr>
        <w:widowControl/>
        <w:numPr>
          <w:ilvl w:val="0"/>
          <w:numId w:val="1"/>
        </w:numPr>
        <w:adjustRightInd/>
        <w:snapToGrid/>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注意事项</w:t>
      </w:r>
    </w:p>
    <w:p w14:paraId="291BB253">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2694F292">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2.竞价成功获得合作购销权利后，乙方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与甲方签订本合同，原则上7个工作日不签订本合同，认定为乙方竞价中标后违约。 </w:t>
      </w:r>
    </w:p>
    <w:p w14:paraId="3B2A8B67">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b/>
          <w:bCs/>
          <w:color w:val="000000" w:themeColor="text1"/>
          <w:sz w:val="32"/>
          <w:szCs w:val="32"/>
          <w:highlight w:val="none"/>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3.如遇政策调控，甲乙双方应无条件服从政府调控需要，互不承担违约责任。甲方按上级制定的调拨价格扣除相关税费后全额与乙方进行结算。</w:t>
      </w:r>
    </w:p>
    <w:p w14:paraId="6A32C961">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   4.粮食入库后由甲方保管，并确保保管期间的入库粮食数量真实、质量良好。储存期间需符合地方储备粮管理规定，入库完毕后双方共同确认数量和质量。</w:t>
      </w:r>
    </w:p>
    <w:p w14:paraId="39647BB6">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5.该批粮食的实际水杂减量和保管损耗由乙方承担。提货时甲方每开一个仓，乙方必须在30日历日内提完，避免动仓后粮食质量下降。因乙方未按要求及时提货造成的粮食质量等损失均由乙方负全责。</w:t>
      </w:r>
    </w:p>
    <w:p w14:paraId="5EEAB70D">
      <w:pPr>
        <w:tabs>
          <w:tab w:val="left" w:pos="690"/>
        </w:tabs>
        <w:spacing w:line="590" w:lineRule="exact"/>
        <w:ind w:firstLine="640" w:firstLineChars="20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6.涉及储备粮业务的各项补贴与乙方无关。</w:t>
      </w:r>
    </w:p>
    <w:p w14:paraId="6D7D67EE">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违约责任</w:t>
      </w:r>
    </w:p>
    <w:p w14:paraId="7F08F91D">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1.乙方不能按合同时间、数量和质量送达，影响甲方储备入库计划</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按违约处理，乙方保证金归甲方所有，合同终止。</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协商一致的除外。</w:t>
      </w:r>
    </w:p>
    <w:p w14:paraId="1649BDD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2.如乙方逾期未提清约定数量且未协商一致，则视作乙方违约，乙方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支付给甲方总货款20%的违约金，未提数量甲方不再销售给乙方，而由甲方另行销售，货款用于偿还甲方前期购粮款及因乙方违约造成的损失，不足部分甲方保留向乙方追讨补足价差的权利。</w:t>
      </w:r>
    </w:p>
    <w:p w14:paraId="0DC5A4F2">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纠纷</w:t>
      </w:r>
      <w:r>
        <w:rPr>
          <w:rFonts w:hint="default" w:ascii="Times New Roman Regular" w:hAnsi="Times New Roman Regular" w:eastAsia="方正黑体_GBK" w:cs="Times New Roman Regular"/>
          <w:color w:val="000000"/>
          <w:kern w:val="0"/>
          <w:sz w:val="32"/>
          <w:szCs w:val="32"/>
          <w:highlight w:val="none"/>
          <w:lang w:bidi="ar"/>
        </w:rPr>
        <w:t>解决方式</w:t>
      </w:r>
    </w:p>
    <w:p w14:paraId="182E577D">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协商解决或按《民法典》通过法律程序解决。出现合同纠纷和未尽事宜，双方可协商，签订补充协议，补充协议与本协议具有同等法律效力，不能协商一致，可向甲方所在地人民法院起诉。</w:t>
      </w:r>
    </w:p>
    <w:p w14:paraId="3BBBA7D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其他</w:t>
      </w:r>
    </w:p>
    <w:p w14:paraId="1034E733">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本合同一式两份，有效期至出库结束止。本合同相关传真件视同原件，传真件与原件不符的，以原件为准。</w:t>
      </w:r>
    </w:p>
    <w:p w14:paraId="589646F9">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723DC013">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25FB0CAD">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bookmarkStart w:id="0" w:name="_GoBack"/>
      <w:bookmarkEnd w:id="0"/>
    </w:p>
    <w:p w14:paraId="2A99D1DE">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6A14ED5D">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  方：</w:t>
      </w:r>
      <w:r>
        <w:rPr>
          <w:rFonts w:hint="default" w:ascii="Times New Roman Regular" w:hAnsi="Times New Roman Regular" w:eastAsia="方正仿宋_GBK" w:cs="Times New Roman Regular"/>
          <w:w w:val="85"/>
          <w:sz w:val="32"/>
          <w:szCs w:val="32"/>
          <w:highlight w:val="none"/>
        </w:rPr>
        <w:t xml:space="preserve">              </w:t>
      </w:r>
      <w:r>
        <w:rPr>
          <w:rFonts w:hint="eastAsia" w:ascii="Times New Roman Regular" w:hAnsi="Times New Roman Regular" w:eastAsia="方正仿宋_GBK" w:cs="Times New Roman Regular"/>
          <w:w w:val="85"/>
          <w:sz w:val="32"/>
          <w:szCs w:val="32"/>
          <w:highlight w:val="none"/>
          <w:lang w:val="en-US" w:eastAsia="zh-CN"/>
        </w:rPr>
        <w:t xml:space="preserve">            </w:t>
      </w:r>
      <w:r>
        <w:rPr>
          <w:rFonts w:hint="default" w:ascii="Times New Roman Regular" w:hAnsi="Times New Roman Regular" w:eastAsia="方正仿宋_GBK" w:cs="Times New Roman Regular"/>
          <w:sz w:val="32"/>
          <w:szCs w:val="32"/>
          <w:highlight w:val="none"/>
        </w:rPr>
        <w:t>乙  方：</w:t>
      </w:r>
    </w:p>
    <w:p w14:paraId="6ED3F7E6">
      <w:pPr>
        <w:spacing w:line="590" w:lineRule="exact"/>
        <w:rPr>
          <w:rFonts w:hint="default" w:ascii="Times New Roman Regular" w:hAnsi="Times New Roman Regular" w:eastAsia="方正仿宋_GBK" w:cs="Times New Roman Regular"/>
          <w:color w:val="000000" w:themeColor="text1"/>
          <w:w w:val="90"/>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w w:val="90"/>
          <w:sz w:val="32"/>
          <w:szCs w:val="32"/>
          <w:highlight w:val="none"/>
          <w14:textFill>
            <w14:solidFill>
              <w14:schemeClr w14:val="tx1"/>
            </w14:solidFill>
          </w14:textFill>
        </w:rPr>
        <w:t>江苏省碾庄陇海粮食储备库有限公司</w:t>
      </w:r>
    </w:p>
    <w:p w14:paraId="028692F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法人代表（委托人）：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sz w:val="32"/>
          <w:szCs w:val="32"/>
          <w:highlight w:val="none"/>
        </w:rPr>
        <w:t>法人代表（委托人）：</w:t>
      </w:r>
    </w:p>
    <w:p w14:paraId="7FC12B87">
      <w:pPr>
        <w:spacing w:line="590" w:lineRule="exact"/>
        <w:rPr>
          <w:rFonts w:hint="default" w:ascii="Times New Roman Regular" w:hAnsi="Times New Roman Regular" w:eastAsia="方正仿宋_GBK" w:cs="Times New Roman Regular"/>
          <w:sz w:val="32"/>
          <w:szCs w:val="32"/>
          <w:highlight w:val="none"/>
        </w:rPr>
      </w:pPr>
    </w:p>
    <w:p w14:paraId="30AFC86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p>
    <w:sectPr>
      <w:headerReference r:id="rId3" w:type="default"/>
      <w:footerReference r:id="rId4" w:type="default"/>
      <w:pgSz w:w="11906" w:h="16838"/>
      <w:pgMar w:top="1984" w:right="1531" w:bottom="1701"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Regular">
    <w:altName w:val="Times New Roman"/>
    <w:panose1 w:val="02020603050405020304"/>
    <w:charset w:val="00"/>
    <w:family w:val="auto"/>
    <w:pitch w:val="default"/>
    <w:sig w:usb0="00000000" w:usb1="00000000"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12605">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86BC1">
    <w:pPr>
      <w:pStyle w:val="4"/>
      <w:rPr>
        <w:rFonts w:hint="default"/>
        <w:lang w:val="en-US"/>
      </w:rPr>
    </w:pPr>
    <w:r>
      <w:pict>
        <v:shape id="PowerPlusWaterMarkObject14127" o:spid="_x0000_s3074" o:spt="136" type="#_x0000_t136" style="position:absolute;left:0pt;height:48.3pt;width:593.6pt;mso-position-horizontal:center;mso-position-horizontal-relative:margin;mso-position-vertical:center;mso-position-vertical-relative:margin;rotation:-2949120f;z-index:-251656192;mso-width-relative:page;mso-height-relative:page;" fillcolor="#C0C0C0" filled="t" stroked="f" coordsize="21600,21600">
          <v:path/>
          <v:fill on="t" opacity="48496f" focussize="0,0"/>
          <v:stroke on="f"/>
          <v:imagedata o:title=""/>
          <o:lock v:ext="edit" aspectratio="t"/>
          <v:textpath on="t" fitshape="t" fitpath="t" trim="t" xscale="f" string="江苏省储备粮管理集团有限公司" style="font-family:方正黑体_GBK;font-size:48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F495CD"/>
    <w:multiLevelType w:val="singleLevel"/>
    <w:tmpl w:val="37F495CD"/>
    <w:lvl w:ilvl="0" w:tentative="0">
      <w:start w:val="1"/>
      <w:numFmt w:val="chineseCounting"/>
      <w:suff w:val="nothing"/>
      <w:lvlText w:val="%1、"/>
      <w:lvlJc w:val="left"/>
      <w:rPr>
        <w:rFonts w:hint="eastAsia" w:ascii="方正黑体_GBK" w:hAnsi="方正黑体_GBK" w:eastAsia="方正黑体_GBK" w:cs="方正黑体_GBK"/>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00B7DA5"/>
    <w:rsid w:val="0016066C"/>
    <w:rsid w:val="003023EB"/>
    <w:rsid w:val="007F2F24"/>
    <w:rsid w:val="00921546"/>
    <w:rsid w:val="00DB6652"/>
    <w:rsid w:val="01CA3F1A"/>
    <w:rsid w:val="01DE54E7"/>
    <w:rsid w:val="04D02DC9"/>
    <w:rsid w:val="0CC872A8"/>
    <w:rsid w:val="0D374B59"/>
    <w:rsid w:val="0EE627B3"/>
    <w:rsid w:val="0FF22FB9"/>
    <w:rsid w:val="10056FF4"/>
    <w:rsid w:val="14FD61B8"/>
    <w:rsid w:val="150834D9"/>
    <w:rsid w:val="151C1A86"/>
    <w:rsid w:val="1582093B"/>
    <w:rsid w:val="162D6610"/>
    <w:rsid w:val="190F182C"/>
    <w:rsid w:val="19230693"/>
    <w:rsid w:val="1A3B37AF"/>
    <w:rsid w:val="1A5A4A24"/>
    <w:rsid w:val="1B5B594E"/>
    <w:rsid w:val="1BD9327F"/>
    <w:rsid w:val="1BE96A15"/>
    <w:rsid w:val="1DF354F9"/>
    <w:rsid w:val="1F745799"/>
    <w:rsid w:val="21797DFE"/>
    <w:rsid w:val="233E1774"/>
    <w:rsid w:val="24AC5A60"/>
    <w:rsid w:val="25390F06"/>
    <w:rsid w:val="25E24C21"/>
    <w:rsid w:val="266F4A43"/>
    <w:rsid w:val="287F5006"/>
    <w:rsid w:val="2C795659"/>
    <w:rsid w:val="2EBA8253"/>
    <w:rsid w:val="2F396F9D"/>
    <w:rsid w:val="35037C10"/>
    <w:rsid w:val="377B3A91"/>
    <w:rsid w:val="3AAB444D"/>
    <w:rsid w:val="3E332998"/>
    <w:rsid w:val="3FFFCC23"/>
    <w:rsid w:val="41E47133"/>
    <w:rsid w:val="446E63AB"/>
    <w:rsid w:val="44A0218D"/>
    <w:rsid w:val="499A3100"/>
    <w:rsid w:val="4A35262C"/>
    <w:rsid w:val="4BF227C7"/>
    <w:rsid w:val="4C3A6B73"/>
    <w:rsid w:val="4DDB2DFD"/>
    <w:rsid w:val="4F7660B5"/>
    <w:rsid w:val="4FE81846"/>
    <w:rsid w:val="507B7A27"/>
    <w:rsid w:val="51750D79"/>
    <w:rsid w:val="52336645"/>
    <w:rsid w:val="532A5B93"/>
    <w:rsid w:val="54CD1014"/>
    <w:rsid w:val="56851A91"/>
    <w:rsid w:val="581F258D"/>
    <w:rsid w:val="58861E86"/>
    <w:rsid w:val="5CF558BC"/>
    <w:rsid w:val="5FDC558E"/>
    <w:rsid w:val="63A63622"/>
    <w:rsid w:val="646D0477"/>
    <w:rsid w:val="657F58CB"/>
    <w:rsid w:val="693A54F8"/>
    <w:rsid w:val="6C6B706C"/>
    <w:rsid w:val="6D6F691D"/>
    <w:rsid w:val="6FAB7D47"/>
    <w:rsid w:val="71AD454A"/>
    <w:rsid w:val="729907F9"/>
    <w:rsid w:val="72DF173B"/>
    <w:rsid w:val="72E15E16"/>
    <w:rsid w:val="745B71A3"/>
    <w:rsid w:val="74E8455B"/>
    <w:rsid w:val="760A6D5F"/>
    <w:rsid w:val="76AA3924"/>
    <w:rsid w:val="779E6A61"/>
    <w:rsid w:val="77C632D1"/>
    <w:rsid w:val="78B040D3"/>
    <w:rsid w:val="7C3A6597"/>
    <w:rsid w:val="7CAE3F22"/>
    <w:rsid w:val="7D030039"/>
    <w:rsid w:val="7D605698"/>
    <w:rsid w:val="7D851A94"/>
    <w:rsid w:val="7D9C5C6B"/>
    <w:rsid w:val="7DFDEB0F"/>
    <w:rsid w:val="7EF70CB6"/>
    <w:rsid w:val="7F2C30F5"/>
    <w:rsid w:val="7FFF2823"/>
    <w:rsid w:val="9DFFDC6D"/>
    <w:rsid w:val="AB9CCF44"/>
    <w:rsid w:val="BB915319"/>
    <w:rsid w:val="BDE773D1"/>
    <w:rsid w:val="BFCF5C9E"/>
    <w:rsid w:val="DF76A35B"/>
    <w:rsid w:val="EFEA88B4"/>
    <w:rsid w:val="EFFFC6AD"/>
    <w:rsid w:val="F4B77BEB"/>
    <w:rsid w:val="FDFF2DD0"/>
    <w:rsid w:val="FE7BAFC5"/>
    <w:rsid w:val="FEF0F739"/>
    <w:rsid w:val="FF723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4"/>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2913</Words>
  <Characters>3079</Characters>
  <Lines>71</Lines>
  <Paragraphs>49</Paragraphs>
  <TotalTime>5</TotalTime>
  <ScaleCrop>false</ScaleCrop>
  <LinksUpToDate>false</LinksUpToDate>
  <CharactersWithSpaces>3199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2024-10-15T20:39:00Z</dcterms:created>
  <dc:creator>无双</dc:creator>
  <cp:lastModifiedBy>kkkitty</cp:lastModifiedBy>
  <dcterms:modified xsi:type="dcterms:W3CDTF">2025-11-19T08:30:16Z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6C3D786B860D431A8D2B95B4DBA2D3E0_13</vt:lpwstr>
  </property>
  <property fmtid="{D5CDD505-2E9C-101B-9397-08002B2CF9AE}" pid="4" name="KSOTemplateDocerSaveRecord">
    <vt:lpwstr>eyJoZGlkIjoiMjE5OThhN2JlN2NhZDcxMTRiNDRkZmVhMGMwN2M5ZjciLCJ1c2VySWQiOiI5ODMwODkwNjcifQ==</vt:lpwstr>
  </property>
</Properties>
</file>