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6C88AA">
      <w:pPr>
        <w:spacing w:line="590" w:lineRule="exact"/>
        <w:jc w:val="right"/>
        <w:rPr>
          <w:rFonts w:hint="default" w:ascii="Times New Roman Regular" w:hAnsi="Times New Roman Regular" w:eastAsia="方正仿宋_GBK" w:cs="Times New Roman Regular"/>
          <w:sz w:val="32"/>
          <w:szCs w:val="32"/>
          <w:highlight w:val="none"/>
          <w:u w:val="single"/>
          <w:lang w:val="en-US" w:eastAsia="zh-CN"/>
        </w:rPr>
      </w:pPr>
      <w:r>
        <w:rPr>
          <w:rFonts w:hint="default" w:ascii="Times New Roman Regular" w:hAnsi="Times New Roman Regular" w:eastAsia="方正仿宋_GBK" w:cs="Times New Roman Regular"/>
          <w:sz w:val="32"/>
          <w:szCs w:val="32"/>
          <w:highlight w:val="none"/>
        </w:rPr>
        <w:t>合同号：SCBL</w:t>
      </w:r>
      <w:r>
        <w:rPr>
          <w:rFonts w:hint="eastAsia" w:ascii="Times New Roman Regular" w:hAnsi="Times New Roman Regular" w:eastAsia="方正仿宋_GBK" w:cs="Times New Roman Regular"/>
          <w:sz w:val="32"/>
          <w:szCs w:val="32"/>
          <w:highlight w:val="none"/>
          <w:lang w:val="en-US" w:eastAsia="zh-CN"/>
        </w:rPr>
        <w:t>XM</w:t>
      </w:r>
      <w:r>
        <w:rPr>
          <w:rFonts w:hint="default" w:ascii="Times New Roman Regular" w:hAnsi="Times New Roman Regular" w:eastAsia="方正仿宋_GBK" w:cs="Times New Roman Regular"/>
          <w:sz w:val="32"/>
          <w:szCs w:val="32"/>
          <w:highlight w:val="none"/>
        </w:rPr>
        <w:t>202</w:t>
      </w:r>
      <w:r>
        <w:rPr>
          <w:rFonts w:hint="eastAsia" w:ascii="Times New Roman Regular" w:hAnsi="Times New Roman Regular" w:eastAsia="方正仿宋_GBK" w:cs="Times New Roman Regular"/>
          <w:sz w:val="32"/>
          <w:szCs w:val="32"/>
          <w:highlight w:val="none"/>
          <w:lang w:val="en-US" w:eastAsia="zh-CN"/>
        </w:rPr>
        <w:t>60525</w:t>
      </w:r>
      <w:r>
        <w:rPr>
          <w:rFonts w:hint="eastAsia" w:ascii="Times New Roman Regular" w:hAnsi="Times New Roman Regular" w:cs="Times New Roman Regular"/>
          <w:highlight w:val="none"/>
          <w:u w:val="single"/>
          <w:lang w:val="en-US" w:eastAsia="zh-CN"/>
        </w:rPr>
        <w:t>-</w:t>
      </w:r>
      <w:r>
        <w:rPr>
          <w:rFonts w:hint="default" w:ascii="Times New Roman Regular" w:hAnsi="Times New Roman Regular" w:eastAsia="方正仿宋_GBK" w:cs="Times New Roman Regular"/>
          <w:sz w:val="32"/>
          <w:szCs w:val="32"/>
          <w:highlight w:val="none"/>
          <w:u w:val="single"/>
          <w:lang w:val="en-US" w:eastAsia="zh-CN"/>
        </w:rPr>
        <w:t>0</w:t>
      </w:r>
      <w:r>
        <w:rPr>
          <w:rFonts w:hint="eastAsia" w:ascii="Times New Roman Regular" w:hAnsi="Times New Roman Regular" w:eastAsia="方正仿宋_GBK" w:cs="Times New Roman Regular"/>
          <w:sz w:val="32"/>
          <w:szCs w:val="32"/>
          <w:highlight w:val="none"/>
          <w:u w:val="single"/>
          <w:lang w:val="en-US" w:eastAsia="zh-CN"/>
        </w:rPr>
        <w:t>*</w:t>
      </w:r>
    </w:p>
    <w:p w14:paraId="76F7A21D">
      <w:pPr>
        <w:spacing w:line="590" w:lineRule="exact"/>
        <w:jc w:val="right"/>
        <w:rPr>
          <w:rFonts w:hint="default" w:ascii="Times New Roman Regular" w:hAnsi="Times New Roman Regular" w:eastAsia="方正仿宋_GBK" w:cs="Times New Roman Regular"/>
          <w:sz w:val="32"/>
          <w:szCs w:val="32"/>
          <w:highlight w:val="none"/>
          <w:lang w:val="en-US" w:eastAsia="zh-CN"/>
        </w:rPr>
      </w:pPr>
    </w:p>
    <w:p w14:paraId="1978B4E6">
      <w:pPr>
        <w:spacing w:line="590" w:lineRule="exact"/>
        <w:jc w:val="center"/>
        <w:rPr>
          <w:rFonts w:hint="default" w:ascii="Times New Roman Regular" w:hAnsi="Times New Roman Regular" w:eastAsia="方正小标宋_GBK" w:cs="Times New Roman Regular"/>
          <w:b/>
          <w:bCs/>
          <w:sz w:val="44"/>
          <w:szCs w:val="44"/>
          <w:highlight w:val="none"/>
        </w:rPr>
      </w:pPr>
      <w:r>
        <w:rPr>
          <w:rFonts w:hint="eastAsia" w:ascii="Times New Roman Regular" w:hAnsi="Times New Roman Regular" w:eastAsia="方正小标宋_GBK" w:cs="Times New Roman Regular"/>
          <w:b w:val="0"/>
          <w:bCs w:val="0"/>
          <w:sz w:val="44"/>
          <w:szCs w:val="44"/>
          <w:highlight w:val="none"/>
          <w:u w:val="none"/>
          <w:lang w:val="en-US" w:eastAsia="zh-CN"/>
        </w:rPr>
        <w:t>小麦</w:t>
      </w:r>
      <w:r>
        <w:rPr>
          <w:rFonts w:hint="default" w:ascii="Times New Roman Regular" w:hAnsi="Times New Roman Regular" w:eastAsia="方正小标宋_GBK" w:cs="Times New Roman Regular"/>
          <w:b w:val="0"/>
          <w:bCs w:val="0"/>
          <w:sz w:val="44"/>
          <w:szCs w:val="44"/>
          <w:highlight w:val="none"/>
        </w:rPr>
        <w:t>购销合作合同</w:t>
      </w:r>
    </w:p>
    <w:p w14:paraId="46C08D62">
      <w:pPr>
        <w:spacing w:line="590" w:lineRule="exact"/>
        <w:jc w:val="center"/>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sz w:val="32"/>
          <w:szCs w:val="32"/>
          <w:highlight w:val="none"/>
        </w:rPr>
        <w:t>（以采竞销）</w:t>
      </w:r>
    </w:p>
    <w:p w14:paraId="2EAEE641">
      <w:pPr>
        <w:widowControl/>
        <w:spacing w:line="590" w:lineRule="exact"/>
        <w:jc w:val="left"/>
        <w:rPr>
          <w:rFonts w:hint="default" w:ascii="方正仿宋_GBK" w:hAnsi="方正仿宋_GBK" w:eastAsia="方正仿宋_GBK" w:cs="方正仿宋_GBK"/>
          <w:sz w:val="32"/>
          <w:szCs w:val="32"/>
          <w:u w:val="single"/>
          <w:lang w:val="en-US" w:eastAsia="zh-CN"/>
        </w:rPr>
      </w:pPr>
      <w:r>
        <w:rPr>
          <w:rFonts w:hint="default" w:ascii="Times New Roman Regular" w:hAnsi="Times New Roman Regular" w:eastAsia="方正仿宋_GBK" w:cs="Times New Roman Regular"/>
          <w:color w:val="000000"/>
          <w:kern w:val="0"/>
          <w:sz w:val="32"/>
          <w:szCs w:val="32"/>
          <w:highlight w:val="none"/>
          <w:lang w:bidi="ar"/>
        </w:rPr>
        <w:t>甲方 ：</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江苏</w:t>
      </w:r>
      <w:r>
        <w:rPr>
          <w:rFonts w:hint="eastAsia" w:ascii="Times New Roman Regular" w:hAnsi="Times New Roman Regular" w:eastAsia="方正仿宋_GBK" w:cs="Times New Roman Regular"/>
          <w:color w:val="000000" w:themeColor="text1"/>
          <w:sz w:val="32"/>
          <w:szCs w:val="32"/>
          <w:u w:val="single"/>
          <w:lang w:val="en-US" w:eastAsia="zh-CN"/>
          <w14:textFill>
            <w14:solidFill>
              <w14:schemeClr w14:val="tx1"/>
            </w14:solidFill>
          </w14:textFill>
        </w:rPr>
        <w:t>宿迁天丰粮食收储</w:t>
      </w:r>
      <w:r>
        <w:rPr>
          <w:rFonts w:hint="default" w:ascii="Times New Roman Regular" w:hAnsi="Times New Roman Regular" w:eastAsia="方正仿宋_GBK" w:cs="Times New Roman Regular"/>
          <w:color w:val="000000" w:themeColor="text1"/>
          <w:sz w:val="32"/>
          <w:szCs w:val="32"/>
          <w:u w:val="single"/>
          <w14:textFill>
            <w14:solidFill>
              <w14:schemeClr w14:val="tx1"/>
            </w14:solidFill>
          </w14:textFill>
        </w:rPr>
        <w:t>有限公司</w:t>
      </w:r>
    </w:p>
    <w:p w14:paraId="22B7624C">
      <w:pPr>
        <w:widowControl/>
        <w:spacing w:line="590" w:lineRule="exact"/>
        <w:jc w:val="left"/>
        <w:rPr>
          <w:rFonts w:hint="default"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pPr>
      <w:r>
        <w:rPr>
          <w:rFonts w:hint="default" w:ascii="Times New Roman Regular" w:hAnsi="Times New Roman Regular" w:eastAsia="方正仿宋_GBK" w:cs="Times New Roman Regular"/>
          <w:color w:val="000000"/>
          <w:kern w:val="0"/>
          <w:sz w:val="32"/>
          <w:szCs w:val="32"/>
          <w:highlight w:val="none"/>
          <w:lang w:bidi="ar"/>
        </w:rPr>
        <w:t>乙方 ：</w:t>
      </w:r>
      <w:r>
        <w:rPr>
          <w:rFonts w:hint="default" w:ascii="Times New Roman Regular" w:hAnsi="Times New Roman Regular" w:eastAsia="方正仿宋_GBK" w:cs="Times New Roman Regular"/>
          <w:color w:val="000000"/>
          <w:kern w:val="0"/>
          <w:sz w:val="32"/>
          <w:szCs w:val="32"/>
          <w:highlight w:val="none"/>
          <w:u w:val="single"/>
          <w:lang w:bidi="ar"/>
        </w:rPr>
        <w:t xml:space="preserve"> </w:t>
      </w:r>
      <w:r>
        <w:rPr>
          <w:rFonts w:hint="eastAsia" w:ascii="Times New Roman Regular" w:hAnsi="Times New Roman Regular" w:eastAsia="方正仿宋_GBK" w:cs="Times New Roman Regular"/>
          <w:color w:val="000000"/>
          <w:kern w:val="0"/>
          <w:sz w:val="32"/>
          <w:szCs w:val="32"/>
          <w:highlight w:val="none"/>
          <w:u w:val="single"/>
          <w:lang w:val="en-US" w:eastAsia="zh-CN" w:bidi="ar"/>
        </w:rPr>
        <w:t xml:space="preserve">                            </w:t>
      </w:r>
    </w:p>
    <w:p w14:paraId="7042CA42">
      <w:pPr>
        <w:spacing w:line="590" w:lineRule="exact"/>
        <w:ind w:firstLine="480" w:firstLineChars="15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为充分发挥各自优势，合理配置粮源，依据江苏粮油商品交易市场（以下简称江苏市场）</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6</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竞价结果，就甲方采购乙方202</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6</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年产</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白小麦**</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w:t>
      </w:r>
      <w:r>
        <w:rPr>
          <w:rFonts w:hint="default" w:ascii="Times New Roman Regular" w:hAnsi="Times New Roman Regular" w:eastAsia="方正仿宋_GBK" w:cs="Times New Roman Regular"/>
          <w:color w:val="000000" w:themeColor="text1"/>
          <w:sz w:val="32"/>
          <w:szCs w:val="32"/>
          <w:highlight w:val="none"/>
          <w:u w:color="FFFFFF"/>
          <w14:textFill>
            <w14:solidFill>
              <w14:schemeClr w14:val="tx1"/>
            </w14:solidFill>
          </w14:textFill>
        </w:rPr>
        <w:t>，同</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时由乙方根据甲方的出库时间要求负责全部回购，达成以下协议：</w:t>
      </w:r>
    </w:p>
    <w:p w14:paraId="312B7C6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甲方采购</w:t>
      </w:r>
      <w:r>
        <w:rPr>
          <w:rFonts w:hint="eastAsia" w:ascii="Times New Roman Regular" w:hAnsi="Times New Roman Regular" w:eastAsia="方正黑体_GBK" w:cs="Times New Roman Regular"/>
          <w:color w:val="000000"/>
          <w:kern w:val="0"/>
          <w:sz w:val="32"/>
          <w:szCs w:val="32"/>
          <w:highlight w:val="none"/>
          <w:lang w:val="en-US" w:eastAsia="zh-CN" w:bidi="ar"/>
        </w:rPr>
        <w:t>事项</w:t>
      </w:r>
    </w:p>
    <w:p w14:paraId="4D563F36">
      <w:pPr>
        <w:spacing w:line="590" w:lineRule="exact"/>
        <w:ind w:firstLine="640" w:firstLineChars="200"/>
        <w:jc w:val="left"/>
        <w:rPr>
          <w:rFonts w:hint="eastAsia"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t>甲方采购乙方</w:t>
      </w:r>
      <w:r>
        <w:rPr>
          <w:rFonts w:hint="default" w:ascii="Times New Roman Regular" w:hAnsi="Times New Roman Regular" w:eastAsia="方正仿宋_GBK" w:cs="Times New Roman Regular"/>
          <w:color w:val="000000" w:themeColor="text1"/>
          <w:sz w:val="32"/>
          <w:szCs w:val="32"/>
          <w:highlight w:val="none"/>
          <w:u w:val="single"/>
          <w:lang w:bidi="ar"/>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bidi="ar"/>
          <w14:textFill>
            <w14:solidFill>
              <w14:schemeClr w14:val="tx1"/>
            </w14:solidFill>
          </w14:textFill>
        </w:rPr>
        <w:t>6</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年产</w:t>
      </w:r>
      <w:r>
        <w:rPr>
          <w:rFonts w:hint="eastAsia" w:ascii="Times New Roman Regular" w:hAnsi="Times New Roman Regular" w:eastAsia="方正仿宋_GBK" w:cs="Times New Roman Regular"/>
          <w:color w:val="000000" w:themeColor="text1"/>
          <w:kern w:val="2"/>
          <w:sz w:val="32"/>
          <w:szCs w:val="32"/>
          <w:highlight w:val="none"/>
          <w:lang w:val="en-US" w:eastAsia="zh-CN" w:bidi="ar"/>
          <w14:textFill>
            <w14:solidFill>
              <w14:schemeClr w14:val="tx1"/>
            </w14:solidFill>
          </w14:textFill>
        </w:rPr>
        <w:t>白</w:t>
      </w:r>
      <w:r>
        <w:rPr>
          <w:rFonts w:hint="eastAsia" w:ascii="Times New Roman Regular" w:hAnsi="Times New Roman Regular" w:eastAsia="方正仿宋_GBK" w:cs="Times New Roman Regular"/>
          <w:color w:val="000000" w:themeColor="text1"/>
          <w:kern w:val="2"/>
          <w:sz w:val="32"/>
          <w:szCs w:val="32"/>
          <w:highlight w:val="none"/>
          <w:u w:val="none"/>
          <w:lang w:val="en-US" w:eastAsia="zh-CN" w:bidi="ar"/>
          <w14:textFill>
            <w14:solidFill>
              <w14:schemeClr w14:val="tx1"/>
            </w14:solidFill>
          </w14:textFill>
        </w:rPr>
        <w:t>小麦</w:t>
      </w:r>
      <w:r>
        <w:rPr>
          <w:rFonts w:hint="eastAsia" w:ascii="Times New Roman Regular" w:hAnsi="Times New Roman Regular" w:eastAsia="方正仿宋_GBK" w:cs="Times New Roman Regular"/>
          <w:color w:val="000000" w:themeColor="text1"/>
          <w:kern w:val="2"/>
          <w:sz w:val="32"/>
          <w:szCs w:val="32"/>
          <w:highlight w:val="none"/>
          <w:u w:val="single"/>
          <w:lang w:val="en-US" w:eastAsia="zh-CN" w:bidi="ar"/>
          <w14:textFill>
            <w14:solidFill>
              <w14:schemeClr w14:val="tx1"/>
            </w14:solidFill>
          </w14:textFill>
        </w:rPr>
        <w:t>**</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吨</w:t>
      </w:r>
      <w:r>
        <w:rPr>
          <w:rFonts w:hint="default" w:ascii="Times New Roman Regular" w:hAnsi="Times New Roman Regular" w:eastAsia="方正仿宋_GBK" w:cs="Times New Roman Regular"/>
          <w:color w:val="000000" w:themeColor="text1"/>
          <w:kern w:val="2"/>
          <w:sz w:val="32"/>
          <w:szCs w:val="32"/>
          <w:highlight w:val="none"/>
          <w:lang w:eastAsia="zh-CN" w:bidi="ar"/>
          <w14:textFill>
            <w14:solidFill>
              <w14:schemeClr w14:val="tx1"/>
            </w14:solidFill>
          </w14:textFill>
        </w:rPr>
        <w:t>：</w:t>
      </w:r>
    </w:p>
    <w:p w14:paraId="00C3D090">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1.入库时间：在</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6</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7</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前完成入库粮食</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吨。具体仓号、数量以粮食入库后双方书面确认单为准。</w:t>
      </w:r>
    </w:p>
    <w:p w14:paraId="7324E4E6">
      <w:pPr>
        <w:tabs>
          <w:tab w:val="left" w:pos="1305"/>
        </w:tabs>
        <w:adjustRightInd w:val="0"/>
        <w:snapToGrid w:val="0"/>
        <w:spacing w:line="590" w:lineRule="exact"/>
        <w:ind w:right="630" w:rightChars="300" w:firstLine="640" w:firstLineChars="200"/>
        <w:rPr>
          <w:rFonts w:hint="default"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2.交货地点：</w:t>
      </w:r>
      <w:r>
        <w:rPr>
          <w:rFonts w:hint="eastAsia" w:ascii="方正仿宋_GBK" w:hAnsi="方正仿宋_GBK" w:eastAsia="方正仿宋_GBK" w:cs="方正仿宋_GBK"/>
          <w:sz w:val="32"/>
          <w:szCs w:val="32"/>
          <w:u w:val="single"/>
          <w:lang w:val="en-US" w:eastAsia="zh-CN"/>
        </w:rPr>
        <w:t>江苏宿迁天丰粮食收储有限公司。</w:t>
      </w:r>
    </w:p>
    <w:p w14:paraId="696E3B6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3.入库价格：设定初始采购价为</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2480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元/吨（甲方散装自卸车板价）。为保证储备粮按时轮入和市场价接轨，允许入库价格根据市场价格进行调整，以甲方和</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双方价格确认书为准，最终入库价格以单仓为单位，以单仓入库平均价格确定为入库价格。</w:t>
      </w:r>
    </w:p>
    <w:p w14:paraId="44EA8AF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4.入库方式：由乙方组织供货。</w:t>
      </w:r>
    </w:p>
    <w:p w14:paraId="74E1A1FB">
      <w:pPr>
        <w:keepNext w:val="0"/>
        <w:keepLines w:val="0"/>
        <w:widowControl/>
        <w:suppressLineNumbers w:val="0"/>
        <w:ind w:firstLine="640" w:firstLineChars="20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5.入库质量要求：202</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6</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年度国产小麦，符合国标三等及以上标准，要求水分≤12.5%，每超0.5%，扣量0.65%；高不足0.5%的，不计增扣量，水分&gt;13.0%</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有权</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拒收；不完善粒≤等级限量；要求杂质≤1.0%，若1.0%&lt;杂质≤2.0%，过筛回杂(</w:t>
      </w:r>
      <w:r>
        <w:rPr>
          <w:rFonts w:ascii="方正仿宋_GBK" w:hAnsi="方正仿宋_GBK" w:eastAsia="方正仿宋_GBK" w:cs="方正仿宋_GBK"/>
          <w:color w:val="000000"/>
          <w:kern w:val="0"/>
          <w:sz w:val="31"/>
          <w:szCs w:val="31"/>
          <w:lang w:val="en-US" w:eastAsia="zh-CN" w:bidi="ar"/>
        </w:rPr>
        <w:t>过筛入库，筛下</w:t>
      </w:r>
      <w:r>
        <w:rPr>
          <w:rFonts w:hint="eastAsia" w:ascii="方正仿宋_GBK" w:hAnsi="方正仿宋_GBK" w:eastAsia="方正仿宋_GBK" w:cs="方正仿宋_GBK"/>
          <w:color w:val="000000"/>
          <w:kern w:val="0"/>
          <w:sz w:val="31"/>
          <w:szCs w:val="31"/>
          <w:lang w:val="en-US" w:eastAsia="zh-CN" w:bidi="ar"/>
        </w:rPr>
        <w:t>物由卖方带回，整理费用以事前商定一致为准</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杂质&gt;2.0%拒收；色泽气味正常；其他常规质量指标符合国家标准中等以上质量标准；脱氧雪腐镰刀菌烯醇≤1000ug/kg，玉米赤霉烯酮≤60ug/kg，其他食品安全指标符合食品安全国家规定标准。超过规定标准的买方有权拒收。乙方供货的粮食不得为陈粮或其他储备轮换粮。</w:t>
      </w:r>
    </w:p>
    <w:p w14:paraId="0F10173E">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6.验收办法：</w:t>
      </w:r>
    </w:p>
    <w:p w14:paraId="77585F24">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（1）质量确认：入库时双方在交货地验质，如对检验方法、标准或质量结果有异议，可委托有资质的</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粮食</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检验机构检验，检验费用由异议提出方先行支付，异议成立的，最终由被异议方承担。</w:t>
      </w:r>
    </w:p>
    <w:p w14:paraId="1446DC1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（2）数量确认：以交货库点地磅称重为准，乙方应当派人监磅，并对数量进行确认。</w:t>
      </w:r>
      <w:r>
        <w:rPr>
          <w:rFonts w:hint="default" w:ascii="Times New Roman Regular" w:hAnsi="Times New Roman Regular" w:eastAsia="方正仿宋_GBK" w:cs="Times New Roman Regular"/>
          <w:sz w:val="32"/>
          <w:szCs w:val="32"/>
          <w:highlight w:val="none"/>
        </w:rPr>
        <w:t>乙方如未派人监磅视为认可过磅数量。</w:t>
      </w:r>
    </w:p>
    <w:p w14:paraId="7D7558E8">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（3）乙方如有数量、质量异议应在入库卸货前提出，逾期未提异议的视为交付合格。</w:t>
      </w:r>
    </w:p>
    <w:p w14:paraId="19E0A93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（4）粮食入库后，甲乙双方须对入库粮食的存储仓号、数量、质量、价格等进行书面确认。</w:t>
      </w:r>
    </w:p>
    <w:p w14:paraId="5AC8F41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乙方回购事项</w:t>
      </w:r>
    </w:p>
    <w:p w14:paraId="6A49881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 本次购销合作双向交易中，约定销售事项为乙方回购，乙方回购的粮食为本次采购的在未来时点轮出的粮食，回购粮食时间以甲方通知出库时间为准。具体回购时间为：</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7</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3</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月出库</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（甲方按照省级储备粮月末库存不低于总量70%开展轮换。</w:t>
      </w:r>
      <w:r>
        <w:rPr>
          <w:rFonts w:hint="default" w:ascii="Times New Roman Regular" w:hAnsi="Times New Roman Regular" w:eastAsia="方正仿宋_GBK" w:cs="Times New Roman Regular"/>
          <w:color w:val="000000"/>
          <w:kern w:val="2"/>
          <w:sz w:val="32"/>
          <w:szCs w:val="32"/>
          <w:highlight w:val="none"/>
          <w:lang w:bidi="ar"/>
        </w:rPr>
        <w:t>销售段的提货</w:t>
      </w:r>
      <w:r>
        <w:rPr>
          <w:rFonts w:hint="eastAsia" w:ascii="Times New Roman Regular" w:hAnsi="Times New Roman Regular" w:eastAsia="方正仿宋_GBK" w:cs="Times New Roman Regular"/>
          <w:color w:val="000000"/>
          <w:kern w:val="2"/>
          <w:sz w:val="32"/>
          <w:szCs w:val="32"/>
          <w:highlight w:val="none"/>
          <w:lang w:val="en-US" w:eastAsia="zh-CN" w:bidi="ar"/>
        </w:rPr>
        <w:t>须</w:t>
      </w:r>
      <w:r>
        <w:rPr>
          <w:rFonts w:hint="default" w:ascii="Times New Roman Regular" w:hAnsi="Times New Roman Regular" w:eastAsia="方正仿宋_GBK" w:cs="Times New Roman Regular"/>
          <w:color w:val="000000"/>
          <w:kern w:val="2"/>
          <w:sz w:val="32"/>
          <w:szCs w:val="32"/>
          <w:highlight w:val="none"/>
          <w:lang w:bidi="ar"/>
        </w:rPr>
        <w:t>在获得储备粮轮出批复后才生效</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如合同中的储备粮被政府调用，本次购销合作双向交易中的销售合同终止履行，乙方不得强求甲方履行合同或要求甲方承担违约责任，乙方的权益按照“五、3”条款中内容补偿。）</w:t>
      </w:r>
      <w:bookmarkStart w:id="0" w:name="_GoBack"/>
      <w:bookmarkEnd w:id="0"/>
    </w:p>
    <w:p w14:paraId="21F619B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2.根据竞价交易结果，在设定初始采购价</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2480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元/吨基础上的回购价格及价差，即</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仓库车板价</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元/吨（本处价格由竞价交易产生）。若实际入库价格调整，乙方回购的最终销售价=成交价-设定初始采购价+入库平均价格。(最终销售价高于成交价时，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双方签订补充协议，超出部分的货款在线下完成收付）</w:t>
      </w:r>
    </w:p>
    <w:p w14:paraId="79447E81">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3.回购粮食数量以入库数量为准，以单个仓房为单位，双方按照保管账面数结算，合理损耗部分由乙方承担。</w:t>
      </w:r>
    </w:p>
    <w:p w14:paraId="53B6079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4.回购粮食质量以在库粮食质量为准，甲方提供符合相关规定的检验报告。</w:t>
      </w:r>
    </w:p>
    <w:p w14:paraId="094DCE8D">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合同定金及保证金的支付与退还</w:t>
      </w:r>
    </w:p>
    <w:p w14:paraId="08F9AE86">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1.乙方除向江苏市场等第三方缴纳规定的交易保证金外，</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先向甲方交纳合同定金100元/吨，定金交付后，交易系统内的购、销双向交易合同正式生效，该项定金适用于双倍罚则。</w:t>
      </w:r>
    </w:p>
    <w:p w14:paraId="6DA9001A">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按货款金额的10</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向甲方缴纳风险保证金（包含乙方向省交易市场缴纳的销售交易保证金10元/吨）。甲方根据收购入库进度分批次收取风险保证金，合同定金可转为风险保证金。风险保证金不计利息，在乙方回购阶段以单仓为单位最后一批粮食出库后退回至乙方。如</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保证金不能覆盖因价格波动导致的市场价差</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按甲方通知时间截止期内，及时补足保证金，否则视为乙方违约</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乙方保证金归甲方所有，合同终止。</w:t>
      </w:r>
    </w:p>
    <w:p w14:paraId="0775D2D8">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3.采购合同项下，</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双方自主交割，甲方在规定的合同入库期限（</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6</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7</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日前</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）内按到货进度付款，采购合同交割期截止日以清单为准，采购合同完成率</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原则上</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达到100%</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最终数量</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以甲方与乙方签订的数量质量价格确认单为准，乙方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提供相应增值税发票后方可确认交易完成。双方交收完毕后江苏市场凭双方签订的采购确认单等有效文件清退定金。</w:t>
      </w:r>
    </w:p>
    <w:p w14:paraId="4E266370">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4.销售合同项下，在合同交割期内，乙方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将货款汇至江苏市场账户（与保证金账户一致）并在系统申请开具出库通知单，凭市场出库单及身份证明到甲方提货。销售粮食交收完毕，甲乙双方在系统签订</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验收确认单</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后，江苏市场退还乙方扣除手续费部分的保证金（与中标结果数量、价格差异部分由甲方与乙方按实结算）。</w:t>
      </w:r>
    </w:p>
    <w:p w14:paraId="1BBDC33C">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合同履约结束后，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双方无任何经济纠纷</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的前提下</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，甲方应及时退还乙方尚未冲抵的风险保证金。</w:t>
      </w:r>
    </w:p>
    <w:p w14:paraId="31C197A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费用结算和发票开具</w:t>
      </w:r>
    </w:p>
    <w:p w14:paraId="6AE3C4F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1.入库结算：甲方按照到货进度付款</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乙方向甲方开具相应的增值税发票。</w:t>
      </w:r>
    </w:p>
    <w:p w14:paraId="3F076B9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2.销售结算：乙方根据甲方通知，先款后货，凭出库通知单提货，甲方向乙方开具相应的增值税发票。</w:t>
      </w:r>
    </w:p>
    <w:p w14:paraId="1AB7DE2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3.进出库费用：乙方</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承担</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进库时仓库散装车板前费用（包括但不限于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过筛费、整理费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等）</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出库时仓库散装车板后费用。</w:t>
      </w:r>
    </w:p>
    <w:p w14:paraId="1AD2EEB1">
      <w:pPr>
        <w:widowControl/>
        <w:numPr>
          <w:ilvl w:val="0"/>
          <w:numId w:val="1"/>
        </w:numPr>
        <w:adjustRightInd/>
        <w:snapToGrid/>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注意事项</w:t>
      </w:r>
    </w:p>
    <w:p w14:paraId="291BB253">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通过竞价交易的方式获得购销合作的权利，乙方按照甲方委托公告的要求参加竞价交易。本次购销双向交易采取以采竞销的交易方式。一次交易实现同一数量的地方储备粮采购（轮入）和销售（轮出）。采购价格固定，竞价方只需对销售标的物的底价进行竞价，一旦竞价销售标的物竞价成交，则相对应的采购标的物同时成交，最终销售价以竞价交易确认的成交价为依据、并按本合同 “二、2”条款计算确认。</w:t>
      </w:r>
    </w:p>
    <w:p w14:paraId="2694F292">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2.竞价成功获得合作购销权利后，乙方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与甲方签订本合同，原则上7个工作日不签订本合同，认定为乙方竞价中标后违约。 </w:t>
      </w:r>
    </w:p>
    <w:p w14:paraId="3B2A8B67">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b/>
          <w:bCs/>
          <w:color w:val="000000" w:themeColor="text1"/>
          <w:sz w:val="32"/>
          <w:szCs w:val="32"/>
          <w:highlight w:val="none"/>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3.如遇政策调控，甲乙双方应无条件服从政府调控需要，互不承担违约责任。甲方按上级制定的调拨价格扣除相关税费后全额与乙方进行结算。</w:t>
      </w:r>
    </w:p>
    <w:p w14:paraId="6A32C961">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   4.粮食入库后由甲方保管，并确保保管期间的入库粮食数量真实、质量良好。储存期间需符合地方储备粮管理规定，入库完毕后双方共同确认数量和质量。</w:t>
      </w:r>
    </w:p>
    <w:p w14:paraId="39647BB6">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5.该批粮食的实际水杂减量和保管损耗由乙方承担。提货时甲方每开一个仓，乙方必须在30日历日内提完，避免动仓后粮食质量下降。因乙方未按要求及时提货造成的粮食质量等损失均由乙方负全责。</w:t>
      </w:r>
    </w:p>
    <w:p w14:paraId="5EEAB70D">
      <w:pPr>
        <w:tabs>
          <w:tab w:val="left" w:pos="690"/>
        </w:tabs>
        <w:spacing w:line="590" w:lineRule="exact"/>
        <w:ind w:firstLine="640" w:firstLineChars="20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6.涉及储备粮业务的各项补贴与乙方无关。</w:t>
      </w:r>
    </w:p>
    <w:p w14:paraId="6D7D67EE">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违约责任</w:t>
      </w:r>
    </w:p>
    <w:p w14:paraId="7F08F91D">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1.乙方不能按合同时间、数量和质量送达，影响甲方储备入库计划</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按违约处理，乙方保证金归甲方所有，合同终止。</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协商一致的除外。</w:t>
      </w:r>
    </w:p>
    <w:p w14:paraId="1649BDD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2.如乙方逾期未提清约定数量且未协商一致，则视作乙方违约，乙方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支付给甲方总货款20%的违约金，未提数量甲方不再销售给乙方，而由甲方另行销售，货款用于偿还甲方前期购粮款及因乙方违约造成的损失，不足部分甲方保留向乙方追讨补足价差的权利。</w:t>
      </w:r>
    </w:p>
    <w:p w14:paraId="0DC5A4F2">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纠纷</w:t>
      </w:r>
      <w:r>
        <w:rPr>
          <w:rFonts w:hint="default" w:ascii="Times New Roman Regular" w:hAnsi="Times New Roman Regular" w:eastAsia="方正黑体_GBK" w:cs="Times New Roman Regular"/>
          <w:color w:val="000000"/>
          <w:kern w:val="0"/>
          <w:sz w:val="32"/>
          <w:szCs w:val="32"/>
          <w:highlight w:val="none"/>
          <w:lang w:bidi="ar"/>
        </w:rPr>
        <w:t>解决方式</w:t>
      </w:r>
    </w:p>
    <w:p w14:paraId="182E577D">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协商解决或按《民法典》通过法律程序解决。出现合同纠纷和未尽事宜，双方可协商，签订补充协议，补充协议与本协议具有同等法律效力，不能协商一致，可向甲方所在地人民法院起诉。</w:t>
      </w:r>
    </w:p>
    <w:p w14:paraId="3BBBA7D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其他</w:t>
      </w:r>
    </w:p>
    <w:p w14:paraId="1034E733">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本合同一式两份，有效期至出库结束止。本合同相关传真件视同原件，传真件与原件不符的，以原件为准。</w:t>
      </w:r>
    </w:p>
    <w:p w14:paraId="589646F9">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23DD0519">
      <w:pPr>
        <w:spacing w:line="240" w:lineRule="auto"/>
        <w:ind w:firstLine="0" w:firstLineChars="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br w:type="page"/>
      </w:r>
    </w:p>
    <w:p w14:paraId="2A99D1DE">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6A14ED5D">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  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w w:val="85"/>
          <w:sz w:val="32"/>
          <w:szCs w:val="32"/>
          <w:highlight w:val="none"/>
        </w:rPr>
        <w:t xml:space="preserve">               </w:t>
      </w:r>
      <w:r>
        <w:rPr>
          <w:rFonts w:hint="eastAsia" w:ascii="Times New Roman Regular" w:hAnsi="Times New Roman Regular" w:eastAsia="方正仿宋_GBK" w:cs="Times New Roman Regular"/>
          <w:w w:val="85"/>
          <w:sz w:val="32"/>
          <w:szCs w:val="32"/>
          <w:highlight w:val="none"/>
          <w:lang w:val="en-US" w:eastAsia="zh-CN"/>
        </w:rPr>
        <w:t xml:space="preserve">            </w:t>
      </w:r>
      <w:r>
        <w:rPr>
          <w:rFonts w:hint="default" w:ascii="Times New Roman Regular" w:hAnsi="Times New Roman Regular" w:eastAsia="方正仿宋_GBK" w:cs="Times New Roman Regular"/>
          <w:sz w:val="32"/>
          <w:szCs w:val="32"/>
          <w:highlight w:val="none"/>
        </w:rPr>
        <w:t>乙  方：</w:t>
      </w:r>
    </w:p>
    <w:p w14:paraId="1CD875BD">
      <w:pPr>
        <w:spacing w:line="590" w:lineRule="exact"/>
        <w:rPr>
          <w:rFonts w:hint="eastAsia" w:ascii="方正仿宋_GBK" w:hAnsi="方正仿宋_GBK" w:eastAsia="方正仿宋_GBK" w:cs="方正仿宋_GBK"/>
          <w:w w:val="80"/>
          <w:sz w:val="32"/>
          <w:szCs w:val="32"/>
          <w:u w:val="none"/>
          <w:lang w:val="en-US" w:eastAsia="zh-CN"/>
        </w:rPr>
      </w:pPr>
      <w:r>
        <w:rPr>
          <w:rFonts w:hint="eastAsia" w:ascii="方正仿宋_GBK" w:hAnsi="方正仿宋_GBK" w:eastAsia="方正仿宋_GBK" w:cs="方正仿宋_GBK"/>
          <w:w w:val="80"/>
          <w:sz w:val="32"/>
          <w:szCs w:val="32"/>
          <w:u w:val="none"/>
          <w:lang w:val="en-US" w:eastAsia="zh-CN"/>
        </w:rPr>
        <w:t>江苏宿迁天丰粮食收储有限公司</w:t>
      </w:r>
    </w:p>
    <w:p w14:paraId="028692F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法人代表（委托人）：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sz w:val="32"/>
          <w:szCs w:val="32"/>
          <w:highlight w:val="none"/>
        </w:rPr>
        <w:t>法人代表（委托人）：</w:t>
      </w:r>
    </w:p>
    <w:p w14:paraId="7FC12B87">
      <w:pPr>
        <w:spacing w:line="590" w:lineRule="exact"/>
        <w:rPr>
          <w:rFonts w:hint="default" w:ascii="Times New Roman Regular" w:hAnsi="Times New Roman Regular" w:eastAsia="方正仿宋_GBK" w:cs="Times New Roman Regular"/>
          <w:sz w:val="32"/>
          <w:szCs w:val="32"/>
          <w:highlight w:val="none"/>
        </w:rPr>
      </w:pPr>
    </w:p>
    <w:p w14:paraId="30AFC86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p>
    <w:sectPr>
      <w:headerReference r:id="rId3" w:type="default"/>
      <w:footerReference r:id="rId4" w:type="default"/>
      <w:pgSz w:w="11906" w:h="16838"/>
      <w:pgMar w:top="1701" w:right="1417" w:bottom="1417" w:left="141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imes New Roman Regular">
    <w:altName w:val="Times New Roman"/>
    <w:panose1 w:val="02020603050405020304"/>
    <w:charset w:val="00"/>
    <w:family w:val="auto"/>
    <w:pitch w:val="default"/>
    <w:sig w:usb0="00000000" w:usb1="00000000"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812605">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E86BC1">
    <w:pPr>
      <w:pStyle w:val="4"/>
      <w:rPr>
        <w:rFonts w:hint="default"/>
        <w:lang w:val="en-US"/>
      </w:rPr>
    </w:pPr>
    <w:r>
      <w:pict>
        <v:shape id="PowerPlusWaterMarkObject14127" o:spid="_x0000_s3074" o:spt="136" type="#_x0000_t136" style="position:absolute;left:0pt;height:48.3pt;width:593.6pt;mso-position-horizontal:center;mso-position-horizontal-relative:margin;mso-position-vertical:center;mso-position-vertical-relative:margin;rotation:-2949120f;z-index:-251656192;mso-width-relative:page;mso-height-relative:page;" fillcolor="#C0C0C0" filled="t" stroked="f" coordsize="21600,21600">
          <v:path/>
          <v:fill on="t" opacity="48496f" focussize="0,0"/>
          <v:stroke on="f"/>
          <v:imagedata o:title=""/>
          <o:lock v:ext="edit" aspectratio="t"/>
          <v:textpath on="t" fitshape="t" fitpath="t" trim="t" xscale="f" string="江苏省储备粮管理集团有限公司" style="font-family:方正黑体_GBK;font-size:48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F495CD"/>
    <w:multiLevelType w:val="singleLevel"/>
    <w:tmpl w:val="37F495CD"/>
    <w:lvl w:ilvl="0" w:tentative="0">
      <w:start w:val="1"/>
      <w:numFmt w:val="chineseCounting"/>
      <w:suff w:val="nothing"/>
      <w:lvlText w:val="%1、"/>
      <w:lvlJc w:val="left"/>
      <w:rPr>
        <w:rFonts w:hint="eastAsia" w:ascii="方正黑体_GBK" w:hAnsi="方正黑体_GBK" w:eastAsia="方正黑体_GBK" w:cs="方正黑体_GBK"/>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1M2M2YTM0NTUyM2JhZmE0ODhkYWM1Y2YzOTJkZGUifQ=="/>
  </w:docVars>
  <w:rsids>
    <w:rsidRoot w:val="71AD454A"/>
    <w:rsid w:val="000B7DA5"/>
    <w:rsid w:val="0016066C"/>
    <w:rsid w:val="003023EB"/>
    <w:rsid w:val="007F2F24"/>
    <w:rsid w:val="00921546"/>
    <w:rsid w:val="00DB6652"/>
    <w:rsid w:val="01DE54E7"/>
    <w:rsid w:val="02A96C98"/>
    <w:rsid w:val="04874344"/>
    <w:rsid w:val="04D02DC9"/>
    <w:rsid w:val="05255776"/>
    <w:rsid w:val="0D374B59"/>
    <w:rsid w:val="0DF76096"/>
    <w:rsid w:val="0EE627B3"/>
    <w:rsid w:val="10056FF4"/>
    <w:rsid w:val="14ED1FA1"/>
    <w:rsid w:val="14FD61B8"/>
    <w:rsid w:val="150834D9"/>
    <w:rsid w:val="151C1A86"/>
    <w:rsid w:val="162D6610"/>
    <w:rsid w:val="1881312C"/>
    <w:rsid w:val="190F182C"/>
    <w:rsid w:val="19230693"/>
    <w:rsid w:val="19455539"/>
    <w:rsid w:val="1A5A4A24"/>
    <w:rsid w:val="1A7E51A2"/>
    <w:rsid w:val="1B5B594E"/>
    <w:rsid w:val="1D5635B9"/>
    <w:rsid w:val="1DF354F9"/>
    <w:rsid w:val="214C2AFA"/>
    <w:rsid w:val="21797DFE"/>
    <w:rsid w:val="233E1774"/>
    <w:rsid w:val="24AC5A60"/>
    <w:rsid w:val="25390F06"/>
    <w:rsid w:val="25E24C21"/>
    <w:rsid w:val="266F4A43"/>
    <w:rsid w:val="27486A4E"/>
    <w:rsid w:val="287F5006"/>
    <w:rsid w:val="2C795659"/>
    <w:rsid w:val="2EBA8253"/>
    <w:rsid w:val="2F396F9D"/>
    <w:rsid w:val="31411253"/>
    <w:rsid w:val="35037C10"/>
    <w:rsid w:val="36BA5D2F"/>
    <w:rsid w:val="377B3A91"/>
    <w:rsid w:val="3AAB444D"/>
    <w:rsid w:val="3BB54D17"/>
    <w:rsid w:val="3E332998"/>
    <w:rsid w:val="3F5860E5"/>
    <w:rsid w:val="3FFFCC23"/>
    <w:rsid w:val="41E47133"/>
    <w:rsid w:val="425A7BFB"/>
    <w:rsid w:val="446E63AB"/>
    <w:rsid w:val="44A0218D"/>
    <w:rsid w:val="47964626"/>
    <w:rsid w:val="499A3100"/>
    <w:rsid w:val="4A35262C"/>
    <w:rsid w:val="4BF227C7"/>
    <w:rsid w:val="4C3A6B73"/>
    <w:rsid w:val="4DDB2DFD"/>
    <w:rsid w:val="4F7660B5"/>
    <w:rsid w:val="507B7A27"/>
    <w:rsid w:val="514E2F5B"/>
    <w:rsid w:val="52336645"/>
    <w:rsid w:val="527C647C"/>
    <w:rsid w:val="54CD1014"/>
    <w:rsid w:val="54D47A42"/>
    <w:rsid w:val="56851A91"/>
    <w:rsid w:val="581F258D"/>
    <w:rsid w:val="58861E86"/>
    <w:rsid w:val="5BCE046E"/>
    <w:rsid w:val="5CF558BC"/>
    <w:rsid w:val="5D685941"/>
    <w:rsid w:val="5FDC558E"/>
    <w:rsid w:val="621B10E3"/>
    <w:rsid w:val="630B7EDC"/>
    <w:rsid w:val="63A63622"/>
    <w:rsid w:val="646D0477"/>
    <w:rsid w:val="67D27562"/>
    <w:rsid w:val="6AA352EF"/>
    <w:rsid w:val="6BA97DCA"/>
    <w:rsid w:val="6C6B706C"/>
    <w:rsid w:val="6D521B17"/>
    <w:rsid w:val="6DF964F0"/>
    <w:rsid w:val="6FAB7D47"/>
    <w:rsid w:val="71AD454A"/>
    <w:rsid w:val="72DF173B"/>
    <w:rsid w:val="72E15E16"/>
    <w:rsid w:val="73702E2A"/>
    <w:rsid w:val="745B71A3"/>
    <w:rsid w:val="74E8455B"/>
    <w:rsid w:val="75B275F6"/>
    <w:rsid w:val="76AA3924"/>
    <w:rsid w:val="779E6A61"/>
    <w:rsid w:val="77C632D1"/>
    <w:rsid w:val="78B040D3"/>
    <w:rsid w:val="7CAE3F22"/>
    <w:rsid w:val="7CC64730"/>
    <w:rsid w:val="7D030039"/>
    <w:rsid w:val="7D605698"/>
    <w:rsid w:val="7D9C5C6B"/>
    <w:rsid w:val="7DFDEB0F"/>
    <w:rsid w:val="7EF70CB6"/>
    <w:rsid w:val="7F2C30F5"/>
    <w:rsid w:val="7FFF2823"/>
    <w:rsid w:val="9DFFDC6D"/>
    <w:rsid w:val="AB9CCF44"/>
    <w:rsid w:val="BB915319"/>
    <w:rsid w:val="BDE773D1"/>
    <w:rsid w:val="BFCF5C9E"/>
    <w:rsid w:val="DF76A35B"/>
    <w:rsid w:val="EFEA88B4"/>
    <w:rsid w:val="EFFFC6AD"/>
    <w:rsid w:val="F4B77BEB"/>
    <w:rsid w:val="FDFF2DD0"/>
    <w:rsid w:val="FE7BAFC5"/>
    <w:rsid w:val="FEF0F739"/>
    <w:rsid w:val="FF7236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7">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4"/>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2844</Words>
  <Characters>2998</Characters>
  <Lines>71</Lines>
  <Paragraphs>49</Paragraphs>
  <TotalTime>0</TotalTime>
  <ScaleCrop>false</ScaleCrop>
  <LinksUpToDate>false</LinksUpToDate>
  <CharactersWithSpaces>3126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2024-10-15T20:39:00Z</dcterms:created>
  <dc:creator>无双</dc:creator>
  <cp:lastModifiedBy>kkkitty</cp:lastModifiedBy>
  <dcterms:modified xsi:type="dcterms:W3CDTF">2026-05-18T03:03:56Z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2B78331E57DC485597F207EA4A2EF0EF_13</vt:lpwstr>
  </property>
  <property fmtid="{D5CDD505-2E9C-101B-9397-08002B2CF9AE}" pid="4" name="KSOTemplateDocerSaveRecord">
    <vt:lpwstr>eyJoZGlkIjoiMjE5OThhN2JlN2NhZDcxMTRiNDRkZmVhMGMwN2M5ZjciLCJ1c2VySWQiOiI5ODMwODkwNjcifQ==</vt:lpwstr>
  </property>
</Properties>
</file>