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B98113">
      <w:pPr>
        <w:spacing w:line="408" w:lineRule="auto"/>
        <w:ind w:firstLine="2650" w:firstLineChars="600"/>
        <w:jc w:val="left"/>
        <w:rPr>
          <w:rFonts w:ascii="宋体" w:hAnsi="宋体" w:cs="宋体"/>
          <w:b/>
          <w:bCs/>
          <w:sz w:val="44"/>
          <w:szCs w:val="44"/>
        </w:rPr>
      </w:pPr>
      <w:r>
        <w:rPr>
          <w:rFonts w:hint="eastAsia" w:ascii="宋体" w:hAnsi="宋体" w:cs="宋体"/>
          <w:b/>
          <w:bCs/>
          <w:color w:val="auto"/>
          <w:sz w:val="44"/>
          <w:szCs w:val="44"/>
          <w:lang w:val="en-US" w:eastAsia="zh-CN"/>
        </w:rPr>
        <w:t>稻谷</w:t>
      </w:r>
      <w:r>
        <w:rPr>
          <w:rFonts w:hint="eastAsia" w:ascii="宋体" w:hAnsi="宋体" w:cs="宋体"/>
          <w:b/>
          <w:bCs/>
          <w:color w:val="auto"/>
          <w:sz w:val="44"/>
          <w:szCs w:val="44"/>
        </w:rPr>
        <w:t>购销合作合同</w:t>
      </w:r>
      <w:r>
        <w:rPr>
          <w:rFonts w:ascii="宋体" w:hAnsi="宋体" w:cs="宋体"/>
          <w:b/>
          <w:bCs/>
          <w:sz w:val="44"/>
          <w:szCs w:val="44"/>
        </w:rPr>
        <w:t xml:space="preserve">               </w:t>
      </w:r>
    </w:p>
    <w:p w14:paraId="04821ECC">
      <w:pPr>
        <w:spacing w:line="408" w:lineRule="auto"/>
        <w:jc w:val="left"/>
        <w:rPr>
          <w:rFonts w:hint="eastAsia" w:ascii="仿宋" w:hAnsi="仿宋" w:eastAsia="仿宋" w:cs="宋体"/>
          <w:color w:val="auto"/>
          <w:sz w:val="32"/>
          <w:szCs w:val="32"/>
          <w:lang w:val="en-US" w:eastAsia="zh-CN"/>
        </w:rPr>
      </w:pPr>
      <w:r>
        <w:rPr>
          <w:rFonts w:hint="eastAsia" w:ascii="宋体" w:hAnsi="宋体" w:eastAsia="方正仿宋_GBK" w:cs="宋体"/>
          <w:b/>
          <w:bCs/>
          <w:sz w:val="44"/>
          <w:szCs w:val="44"/>
          <w:lang w:val="en-US" w:eastAsia="zh-CN"/>
        </w:rPr>
        <w:t xml:space="preserve">                     </w:t>
      </w:r>
      <w:r>
        <w:rPr>
          <w:rFonts w:hint="eastAsia" w:ascii="方正仿宋_GBK" w:hAnsi="方正仿宋_GBK" w:eastAsia="方正仿宋_GBK" w:cs="方正仿宋_GBK"/>
          <w:sz w:val="32"/>
          <w:szCs w:val="32"/>
        </w:rPr>
        <w:t>合同号：</w:t>
      </w:r>
      <w:r>
        <w:rPr>
          <w:rFonts w:hint="eastAsia" w:ascii="仿宋" w:hAnsi="仿宋" w:eastAsia="仿宋" w:cs="宋体"/>
          <w:color w:val="auto"/>
          <w:sz w:val="32"/>
          <w:szCs w:val="32"/>
        </w:rPr>
        <w:t>SCBLDG2025</w:t>
      </w:r>
      <w:r>
        <w:rPr>
          <w:rFonts w:hint="eastAsia" w:ascii="仿宋" w:hAnsi="仿宋" w:eastAsia="仿宋" w:cs="宋体"/>
          <w:color w:val="auto"/>
          <w:sz w:val="32"/>
          <w:szCs w:val="32"/>
          <w:lang w:val="en-US" w:eastAsia="zh-CN"/>
        </w:rPr>
        <w:t>1011</w:t>
      </w:r>
      <w:r>
        <w:rPr>
          <w:rFonts w:hint="eastAsia" w:ascii="仿宋" w:hAnsi="仿宋" w:eastAsia="仿宋" w:cs="宋体"/>
          <w:color w:val="auto"/>
          <w:sz w:val="32"/>
          <w:szCs w:val="32"/>
        </w:rPr>
        <w:t>-0</w:t>
      </w:r>
      <w:r>
        <w:rPr>
          <w:rFonts w:hint="eastAsia" w:ascii="仿宋" w:hAnsi="仿宋" w:eastAsia="仿宋" w:cs="宋体"/>
          <w:color w:val="auto"/>
          <w:sz w:val="32"/>
          <w:szCs w:val="32"/>
          <w:lang w:val="en-US" w:eastAsia="zh-CN"/>
        </w:rPr>
        <w:t>*</w:t>
      </w:r>
    </w:p>
    <w:p w14:paraId="607DC248">
      <w:pPr>
        <w:keepNext w:val="0"/>
        <w:keepLines w:val="0"/>
        <w:pageBreakBefore w:val="0"/>
        <w:widowControl/>
        <w:kinsoku/>
        <w:wordWrap/>
        <w:overflowPunct/>
        <w:topLinePunct w:val="0"/>
        <w:autoSpaceDE/>
        <w:autoSpaceDN/>
        <w:bidi w:val="0"/>
        <w:spacing w:line="590" w:lineRule="exact"/>
        <w:jc w:val="left"/>
        <w:textAlignment w:val="auto"/>
        <w:rPr>
          <w:rFonts w:hint="eastAsia" w:ascii="方正仿宋_GBK" w:hAnsi="方正仿宋_GBK" w:eastAsia="方正仿宋_GBK" w:cs="方正仿宋_GBK"/>
          <w:sz w:val="32"/>
          <w:szCs w:val="32"/>
          <w:u w:val="single"/>
        </w:rPr>
      </w:pPr>
      <w:r>
        <w:rPr>
          <w:rFonts w:hint="eastAsia" w:ascii="方正仿宋_GBK" w:hAnsi="方正仿宋_GBK" w:eastAsia="方正仿宋_GBK" w:cs="方正仿宋_GBK"/>
          <w:color w:val="000000"/>
          <w:kern w:val="0"/>
          <w:sz w:val="32"/>
          <w:szCs w:val="32"/>
          <w:lang w:bidi="ar"/>
        </w:rPr>
        <w:t>甲方1 ：</w:t>
      </w:r>
      <w:r>
        <w:rPr>
          <w:rFonts w:hint="eastAsia" w:ascii="方正仿宋_GBK" w:hAnsi="方正仿宋_GBK" w:eastAsia="方正仿宋_GBK" w:cs="方正仿宋_GBK"/>
          <w:color w:val="000000"/>
          <w:kern w:val="0"/>
          <w:sz w:val="32"/>
          <w:szCs w:val="32"/>
          <w:u w:val="single"/>
          <w:lang w:bidi="ar"/>
        </w:rPr>
        <w:t>江苏省储备粮管理</w:t>
      </w:r>
      <w:r>
        <w:rPr>
          <w:rFonts w:hint="eastAsia" w:ascii="方正仿宋_GBK" w:hAnsi="方正仿宋_GBK" w:eastAsia="方正仿宋_GBK" w:cs="方正仿宋_GBK"/>
          <w:color w:val="000000"/>
          <w:kern w:val="0"/>
          <w:sz w:val="32"/>
          <w:szCs w:val="32"/>
          <w:u w:val="single"/>
          <w:lang w:val="en-US" w:eastAsia="zh-CN" w:bidi="ar"/>
        </w:rPr>
        <w:t>集团</w:t>
      </w:r>
      <w:r>
        <w:rPr>
          <w:rFonts w:hint="eastAsia" w:ascii="方正仿宋_GBK" w:hAnsi="方正仿宋_GBK" w:eastAsia="方正仿宋_GBK" w:cs="方正仿宋_GBK"/>
          <w:color w:val="000000"/>
          <w:kern w:val="0"/>
          <w:sz w:val="32"/>
          <w:szCs w:val="32"/>
          <w:u w:val="single"/>
          <w:lang w:bidi="ar"/>
        </w:rPr>
        <w:t xml:space="preserve">有限公司 </w:t>
      </w:r>
    </w:p>
    <w:p w14:paraId="6BB888D3">
      <w:pPr>
        <w:keepNext w:val="0"/>
        <w:keepLines w:val="0"/>
        <w:pageBreakBefore w:val="0"/>
        <w:widowControl/>
        <w:kinsoku/>
        <w:wordWrap/>
        <w:overflowPunct/>
        <w:topLinePunct w:val="0"/>
        <w:autoSpaceDE/>
        <w:autoSpaceDN/>
        <w:bidi w:val="0"/>
        <w:spacing w:line="590" w:lineRule="exact"/>
        <w:jc w:val="left"/>
        <w:textAlignment w:val="auto"/>
        <w:rPr>
          <w:rFonts w:hint="default" w:ascii="方正仿宋_GBK" w:hAnsi="方正仿宋_GBK" w:eastAsia="方正仿宋_GBK" w:cs="方正仿宋_GBK"/>
          <w:sz w:val="32"/>
          <w:szCs w:val="32"/>
          <w:highlight w:val="none"/>
          <w:u w:val="single"/>
          <w:lang w:val="en-US" w:eastAsia="zh-CN"/>
        </w:rPr>
      </w:pPr>
      <w:r>
        <w:rPr>
          <w:rFonts w:hint="eastAsia" w:ascii="方正仿宋_GBK" w:hAnsi="方正仿宋_GBK" w:eastAsia="方正仿宋_GBK" w:cs="方正仿宋_GBK"/>
          <w:color w:val="000000"/>
          <w:kern w:val="0"/>
          <w:sz w:val="32"/>
          <w:szCs w:val="32"/>
          <w:lang w:bidi="ar"/>
        </w:rPr>
        <w:t>甲方2</w:t>
      </w:r>
      <w:r>
        <w:rPr>
          <w:rFonts w:hint="eastAsia" w:ascii="方正仿宋_GBK" w:hAnsi="方正仿宋_GBK" w:eastAsia="方正仿宋_GBK" w:cs="方正仿宋_GBK"/>
          <w:color w:val="000000"/>
          <w:kern w:val="0"/>
          <w:sz w:val="32"/>
          <w:szCs w:val="32"/>
          <w:lang w:val="en-US" w:eastAsia="zh-CN" w:bidi="ar"/>
        </w:rPr>
        <w:t xml:space="preserve"> </w:t>
      </w:r>
      <w:r>
        <w:rPr>
          <w:rFonts w:hint="eastAsia" w:ascii="方正仿宋_GBK" w:hAnsi="方正仿宋_GBK" w:eastAsia="方正仿宋_GBK" w:cs="方正仿宋_GBK"/>
          <w:color w:val="000000"/>
          <w:kern w:val="0"/>
          <w:sz w:val="32"/>
          <w:szCs w:val="32"/>
          <w:lang w:bidi="ar"/>
        </w:rPr>
        <w:t>：</w:t>
      </w:r>
      <w:r>
        <w:rPr>
          <w:rFonts w:hint="eastAsia" w:ascii="仿宋" w:hAnsi="仿宋" w:eastAsia="仿宋" w:cs="仿宋"/>
          <w:sz w:val="32"/>
          <w:szCs w:val="32"/>
          <w:u w:val="single"/>
          <w:lang w:val="en-US" w:eastAsia="zh-CN"/>
        </w:rPr>
        <w:t>建湖县马厂第二粮库有限公司</w:t>
      </w:r>
    </w:p>
    <w:p w14:paraId="72549950">
      <w:pPr>
        <w:keepNext w:val="0"/>
        <w:keepLines w:val="0"/>
        <w:pageBreakBefore w:val="0"/>
        <w:widowControl/>
        <w:kinsoku/>
        <w:wordWrap/>
        <w:overflowPunct/>
        <w:topLinePunct w:val="0"/>
        <w:autoSpaceDE/>
        <w:autoSpaceDN/>
        <w:bidi w:val="0"/>
        <w:spacing w:line="590" w:lineRule="exact"/>
        <w:jc w:val="left"/>
        <w:textAlignment w:val="auto"/>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pPr>
      <w:r>
        <w:rPr>
          <w:rFonts w:hint="eastAsia" w:ascii="方正仿宋_GBK" w:hAnsi="方正仿宋_GBK" w:eastAsia="方正仿宋_GBK" w:cs="方正仿宋_GBK"/>
          <w:color w:val="000000"/>
          <w:kern w:val="0"/>
          <w:sz w:val="32"/>
          <w:szCs w:val="32"/>
          <w:lang w:bidi="ar"/>
        </w:rPr>
        <w:t xml:space="preserve">乙方 </w:t>
      </w:r>
      <w:r>
        <w:rPr>
          <w:rFonts w:hint="eastAsia" w:ascii="方正仿宋_GBK" w:hAnsi="方正仿宋_GBK" w:eastAsia="方正仿宋_GBK" w:cs="方正仿宋_GBK"/>
          <w:color w:val="000000"/>
          <w:kern w:val="0"/>
          <w:sz w:val="32"/>
          <w:szCs w:val="32"/>
          <w:lang w:val="en-US" w:eastAsia="zh-CN" w:bidi="ar"/>
        </w:rPr>
        <w:t xml:space="preserve"> </w:t>
      </w:r>
      <w:r>
        <w:rPr>
          <w:rFonts w:hint="eastAsia" w:ascii="方正仿宋_GBK" w:hAnsi="方正仿宋_GBK" w:eastAsia="方正仿宋_GBK" w:cs="方正仿宋_GBK"/>
          <w:color w:val="000000"/>
          <w:kern w:val="0"/>
          <w:sz w:val="32"/>
          <w:szCs w:val="32"/>
          <w:lang w:bidi="ar"/>
        </w:rPr>
        <w:t>：</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 xml:space="preserve">                          </w:t>
      </w:r>
    </w:p>
    <w:p w14:paraId="30B52911">
      <w:pPr>
        <w:keepNext w:val="0"/>
        <w:keepLines w:val="0"/>
        <w:pageBreakBefore w:val="0"/>
        <w:widowControl/>
        <w:kinsoku/>
        <w:wordWrap/>
        <w:overflowPunct/>
        <w:topLinePunct w:val="0"/>
        <w:autoSpaceDE/>
        <w:autoSpaceDN/>
        <w:bidi w:val="0"/>
        <w:spacing w:line="590" w:lineRule="exact"/>
        <w:ind w:firstLine="640" w:firstLineChars="200"/>
        <w:jc w:val="left"/>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为充分发挥各自优势，合理配置粮源，依据江苏粮油商品交易市场（以下简称江苏市场）</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2025</w:t>
      </w:r>
      <w:r>
        <w:rPr>
          <w:rFonts w:hint="eastAsia" w:ascii="方正仿宋_GBK" w:hAnsi="方正仿宋_GBK" w:eastAsia="方正仿宋_GBK" w:cs="方正仿宋_GBK"/>
          <w:color w:val="000000" w:themeColor="text1"/>
          <w:sz w:val="32"/>
          <w:szCs w:val="32"/>
          <w:highlight w:val="none"/>
          <w14:textFill>
            <w14:solidFill>
              <w14:schemeClr w14:val="tx1"/>
            </w14:solidFill>
          </w14:textFill>
        </w:rPr>
        <w:t>年</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10</w:t>
      </w:r>
      <w:r>
        <w:rPr>
          <w:rFonts w:hint="eastAsia" w:ascii="方正仿宋_GBK" w:hAnsi="方正仿宋_GBK" w:eastAsia="方正仿宋_GBK" w:cs="方正仿宋_GBK"/>
          <w:color w:val="000000" w:themeColor="text1"/>
          <w:sz w:val="32"/>
          <w:szCs w:val="32"/>
          <w:highlight w:val="none"/>
          <w14:textFill>
            <w14:solidFill>
              <w14:schemeClr w14:val="tx1"/>
            </w14:solidFill>
          </w14:textFill>
        </w:rPr>
        <w:t>月</w:t>
      </w:r>
      <w:r>
        <w:rPr>
          <w:rFonts w:hint="eastAsia" w:ascii="方正仿宋_GBK" w:hAnsi="方正仿宋_GBK" w:eastAsia="方正仿宋_GBK" w:cs="方正仿宋_GBK"/>
          <w:color w:val="000000" w:themeColor="text1"/>
          <w:sz w:val="32"/>
          <w:szCs w:val="32"/>
          <w:highlight w:val="none"/>
          <w:lang w:val="en-US" w:eastAsia="zh-CN"/>
          <w14:textFill>
            <w14:solidFill>
              <w14:schemeClr w14:val="tx1"/>
            </w14:solidFill>
          </w14:textFill>
        </w:rPr>
        <w:t>11</w:t>
      </w:r>
      <w:r>
        <w:rPr>
          <w:rFonts w:hint="eastAsia" w:ascii="方正仿宋_GBK" w:hAnsi="方正仿宋_GBK" w:eastAsia="方正仿宋_GBK" w:cs="方正仿宋_GBK"/>
          <w:color w:val="000000" w:themeColor="text1"/>
          <w:sz w:val="32"/>
          <w:szCs w:val="32"/>
          <w:highlight w:val="none"/>
          <w14:textFill>
            <w14:solidFill>
              <w14:schemeClr w14:val="tx1"/>
            </w14:solidFill>
          </w14:textFill>
        </w:rPr>
        <w:t>日</w:t>
      </w:r>
      <w:r>
        <w:rPr>
          <w:rFonts w:hint="eastAsia" w:ascii="方正仿宋_GBK" w:hAnsi="方正仿宋_GBK" w:eastAsia="方正仿宋_GBK" w:cs="方正仿宋_GBK"/>
          <w:color w:val="000000" w:themeColor="text1"/>
          <w:sz w:val="32"/>
          <w:szCs w:val="32"/>
          <w14:textFill>
            <w14:solidFill>
              <w14:schemeClr w14:val="tx1"/>
            </w14:solidFill>
          </w14:textFill>
        </w:rPr>
        <w:t>竞价结果，就甲方1和甲方2（甲方2为甲方1的下属企业，以下并称甲方）</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采购</w:t>
      </w:r>
      <w:r>
        <w:rPr>
          <w:rFonts w:hint="eastAsia" w:ascii="方正仿宋_GBK" w:hAnsi="方正仿宋_GBK" w:eastAsia="方正仿宋_GBK" w:cs="方正仿宋_GBK"/>
          <w:color w:val="000000" w:themeColor="text1"/>
          <w:sz w:val="32"/>
          <w:szCs w:val="32"/>
          <w14:textFill>
            <w14:solidFill>
              <w14:schemeClr w14:val="tx1"/>
            </w14:solidFill>
          </w14:textFill>
        </w:rPr>
        <w:t>乙方</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2025</w:t>
      </w:r>
      <w:r>
        <w:rPr>
          <w:rFonts w:hint="eastAsia" w:ascii="方正仿宋_GBK" w:hAnsi="方正仿宋_GBK" w:eastAsia="方正仿宋_GBK" w:cs="方正仿宋_GBK"/>
          <w:color w:val="000000" w:themeColor="text1"/>
          <w:sz w:val="32"/>
          <w:szCs w:val="32"/>
          <w14:textFill>
            <w14:solidFill>
              <w14:schemeClr w14:val="tx1"/>
            </w14:solidFill>
          </w14:textFill>
        </w:rPr>
        <w:t>年产</w:t>
      </w:r>
      <w:r>
        <w:rPr>
          <w:rFonts w:hint="eastAsia" w:ascii="仿宋" w:hAnsi="仿宋" w:eastAsia="仿宋" w:cs="仿宋"/>
          <w:sz w:val="32"/>
          <w:szCs w:val="32"/>
          <w:lang w:val="en-US" w:eastAsia="zh-CN"/>
        </w:rPr>
        <w:t>粳稻</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7140</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吨</w:t>
      </w:r>
      <w:r>
        <w:rPr>
          <w:rFonts w:hint="eastAsia" w:ascii="方正仿宋_GBK" w:hAnsi="方正仿宋_GBK" w:eastAsia="方正仿宋_GBK" w:cs="方正仿宋_GBK"/>
          <w:color w:val="000000" w:themeColor="text1"/>
          <w:sz w:val="32"/>
          <w:szCs w:val="32"/>
          <w:u w:color="FFFFFF"/>
          <w14:textFill>
            <w14:solidFill>
              <w14:schemeClr w14:val="tx1"/>
            </w14:solidFill>
          </w14:textFill>
        </w:rPr>
        <w:t>，同</w:t>
      </w:r>
      <w:r>
        <w:rPr>
          <w:rFonts w:hint="eastAsia" w:ascii="方正仿宋_GBK" w:hAnsi="方正仿宋_GBK" w:eastAsia="方正仿宋_GBK" w:cs="方正仿宋_GBK"/>
          <w:color w:val="000000" w:themeColor="text1"/>
          <w:sz w:val="32"/>
          <w:szCs w:val="32"/>
          <w14:textFill>
            <w14:solidFill>
              <w14:schemeClr w14:val="tx1"/>
            </w14:solidFill>
          </w14:textFill>
        </w:rPr>
        <w:t>时由乙方根据甲方的出库时间要求负责全部回购，达成以下协议：</w:t>
      </w:r>
    </w:p>
    <w:p w14:paraId="2966F2DF">
      <w:pPr>
        <w:keepNext w:val="0"/>
        <w:keepLines w:val="0"/>
        <w:pageBreakBefore w:val="0"/>
        <w:numPr>
          <w:ilvl w:val="0"/>
          <w:numId w:val="0"/>
        </w:numPr>
        <w:kinsoku/>
        <w:wordWrap/>
        <w:overflowPunct/>
        <w:topLinePunct w:val="0"/>
        <w:autoSpaceDE/>
        <w:autoSpaceDN/>
        <w:bidi w:val="0"/>
        <w:spacing w:line="590" w:lineRule="exact"/>
        <w:ind w:firstLine="640" w:firstLineChars="200"/>
        <w:jc w:val="left"/>
        <w:textAlignment w:val="auto"/>
        <w:rPr>
          <w:rFonts w:hint="eastAsia" w:ascii="方正黑体_GBK" w:hAnsi="方正黑体_GBK" w:eastAsia="方正黑体_GBK" w:cs="方正黑体_GBK"/>
          <w:color w:val="000000" w:themeColor="text1"/>
          <w:sz w:val="32"/>
          <w:szCs w:val="32"/>
          <w14:textFill>
            <w14:solidFill>
              <w14:schemeClr w14:val="tx1"/>
            </w14:solidFill>
          </w14:textFill>
        </w:rPr>
      </w:pPr>
      <w:r>
        <w:rPr>
          <w:rFonts w:hint="eastAsia" w:ascii="方正黑体_GBK" w:hAnsi="方正黑体_GBK" w:eastAsia="方正黑体_GBK" w:cs="方正黑体_GBK"/>
          <w:color w:val="000000" w:themeColor="text1"/>
          <w:sz w:val="32"/>
          <w:szCs w:val="32"/>
          <w14:textFill>
            <w14:solidFill>
              <w14:schemeClr w14:val="tx1"/>
            </w14:solidFill>
          </w14:textFill>
        </w:rPr>
        <w:t>一、甲方</w:t>
      </w:r>
      <w:r>
        <w:rPr>
          <w:rFonts w:hint="eastAsia" w:ascii="方正黑体_GBK" w:hAnsi="方正黑体_GBK" w:eastAsia="方正黑体_GBK" w:cs="方正黑体_GBK"/>
          <w:color w:val="000000" w:themeColor="text1"/>
          <w:sz w:val="32"/>
          <w:szCs w:val="32"/>
          <w:lang w:val="en-US" w:eastAsia="zh-CN"/>
          <w14:textFill>
            <w14:solidFill>
              <w14:schemeClr w14:val="tx1"/>
            </w14:solidFill>
          </w14:textFill>
        </w:rPr>
        <w:t>采购</w:t>
      </w:r>
      <w:r>
        <w:rPr>
          <w:rFonts w:hint="eastAsia" w:ascii="方正黑体_GBK" w:hAnsi="方正黑体_GBK" w:eastAsia="方正黑体_GBK" w:cs="方正黑体_GBK"/>
          <w:color w:val="000000" w:themeColor="text1"/>
          <w:sz w:val="32"/>
          <w:szCs w:val="32"/>
          <w14:textFill>
            <w14:solidFill>
              <w14:schemeClr w14:val="tx1"/>
            </w14:solidFill>
          </w14:textFill>
        </w:rPr>
        <w:t>乙方</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2025</w:t>
      </w:r>
      <w:r>
        <w:rPr>
          <w:rFonts w:hint="eastAsia" w:ascii="方正黑体_GBK" w:hAnsi="方正黑体_GBK" w:eastAsia="方正黑体_GBK" w:cs="方正黑体_GBK"/>
          <w:color w:val="000000" w:themeColor="text1"/>
          <w:kern w:val="0"/>
          <w:sz w:val="32"/>
          <w:szCs w:val="32"/>
          <w:lang w:val="en-US" w:eastAsia="zh-CN" w:bidi="ar"/>
          <w14:textFill>
            <w14:solidFill>
              <w14:schemeClr w14:val="tx1"/>
            </w14:solidFill>
          </w14:textFill>
        </w:rPr>
        <w:t>年产粳稻</w:t>
      </w:r>
      <w:r>
        <w:rPr>
          <w:rFonts w:hint="eastAsia" w:ascii="方正黑体_GBK" w:hAnsi="方正黑体_GBK" w:eastAsia="方正黑体_GBK" w:cs="方正黑体_GBK"/>
          <w:color w:val="000000" w:themeColor="text1"/>
          <w:kern w:val="0"/>
          <w:sz w:val="32"/>
          <w:szCs w:val="32"/>
          <w:u w:val="single"/>
          <w:lang w:val="en-US" w:eastAsia="zh-CN" w:bidi="ar"/>
          <w14:textFill>
            <w14:solidFill>
              <w14:schemeClr w14:val="tx1"/>
            </w14:solidFill>
          </w14:textFill>
        </w:rPr>
        <w:t>7140</w:t>
      </w:r>
      <w:r>
        <w:rPr>
          <w:rFonts w:hint="eastAsia" w:ascii="方正黑体_GBK" w:hAnsi="方正黑体_GBK" w:eastAsia="方正黑体_GBK" w:cs="方正黑体_GBK"/>
          <w:color w:val="000000" w:themeColor="text1"/>
          <w:kern w:val="0"/>
          <w:sz w:val="32"/>
          <w:szCs w:val="32"/>
          <w:lang w:val="en-US" w:eastAsia="zh-CN" w:bidi="ar"/>
          <w14:textFill>
            <w14:solidFill>
              <w14:schemeClr w14:val="tx1"/>
            </w14:solidFill>
          </w14:textFill>
        </w:rPr>
        <w:t>吨</w:t>
      </w:r>
    </w:p>
    <w:p w14:paraId="66C6F8CC">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lang w:eastAsia="zh-CN"/>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1.入库时间：</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在</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2025</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年</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11</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月</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25</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日前完成入库粮食</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2380</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吨</w:t>
      </w:r>
      <w:r>
        <w:rPr>
          <w:rFonts w:hint="eastAsia" w:ascii="方正仿宋_GBK" w:hAnsi="方正仿宋_GBK" w:eastAsia="方正仿宋_GBK" w:cs="方正仿宋_GBK"/>
          <w:color w:val="000000" w:themeColor="text1"/>
          <w:sz w:val="32"/>
          <w:szCs w:val="32"/>
          <w:u w:val="single"/>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2025年12月25日前完成入库粮食累计7140吨</w:t>
      </w:r>
      <w:r>
        <w:rPr>
          <w:rFonts w:hint="eastAsia" w:ascii="方正仿宋_GBK" w:hAnsi="方正仿宋_GBK" w:eastAsia="方正仿宋_GBK" w:cs="方正仿宋_GBK"/>
          <w:color w:val="000000" w:themeColor="text1"/>
          <w:sz w:val="32"/>
          <w:szCs w:val="32"/>
          <w14:textFill>
            <w14:solidFill>
              <w14:schemeClr w14:val="tx1"/>
            </w14:solidFill>
          </w14:textFill>
        </w:rPr>
        <w:t>。具体仓号、数量以粮食入库后双方书面确认单为准</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p>
    <w:p w14:paraId="3AD2B8F7">
      <w:pPr>
        <w:keepNext w:val="0"/>
        <w:keepLines w:val="0"/>
        <w:pageBreakBefore w:val="0"/>
        <w:tabs>
          <w:tab w:val="left" w:pos="1305"/>
        </w:tabs>
        <w:kinsoku/>
        <w:wordWrap/>
        <w:overflowPunct/>
        <w:topLinePunct w:val="0"/>
        <w:autoSpaceDE/>
        <w:autoSpaceDN/>
        <w:bidi w:val="0"/>
        <w:adjustRightInd w:val="0"/>
        <w:snapToGrid w:val="0"/>
        <w:spacing w:line="590" w:lineRule="exact"/>
        <w:ind w:right="630" w:rightChars="300" w:firstLine="640" w:firstLineChars="200"/>
        <w:textAlignment w:val="auto"/>
        <w:rPr>
          <w:rFonts w:hint="default" w:ascii="方正仿宋_GBK" w:hAnsi="方正仿宋_GBK" w:eastAsia="方正仿宋_GBK" w:cs="方正仿宋_GBK"/>
          <w:color w:val="000000" w:themeColor="text1"/>
          <w:sz w:val="32"/>
          <w:szCs w:val="32"/>
          <w:u w:val="single"/>
          <w:lang w:val="en-US" w:eastAsia="zh-CN"/>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2.交货地点：</w:t>
      </w:r>
      <w:r>
        <w:rPr>
          <w:rFonts w:hint="eastAsia" w:ascii="仿宋" w:hAnsi="仿宋" w:eastAsia="仿宋" w:cs="仿宋"/>
          <w:sz w:val="32"/>
          <w:szCs w:val="32"/>
          <w:u w:val="single"/>
          <w:lang w:val="en-US" w:eastAsia="zh-CN"/>
        </w:rPr>
        <w:t>建湖县马厂第二粮库有限公司</w:t>
      </w:r>
    </w:p>
    <w:p w14:paraId="36402EFC">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3.入库价格：</w:t>
      </w:r>
      <w:r>
        <w:rPr>
          <w:rFonts w:hint="eastAsia" w:ascii="仿宋" w:hAnsi="仿宋" w:eastAsia="仿宋" w:cs="楷体"/>
          <w:color w:val="000000" w:themeColor="text1"/>
          <w:sz w:val="32"/>
          <w:szCs w:val="32"/>
          <w14:textFill>
            <w14:solidFill>
              <w14:schemeClr w14:val="tx1"/>
            </w14:solidFill>
          </w14:textFill>
        </w:rPr>
        <w:t>设定初始采购价为</w:t>
      </w:r>
      <w:r>
        <w:rPr>
          <w:rFonts w:hint="eastAsia" w:ascii="方正仿宋_GBK" w:hAnsi="方正仿宋_GBK" w:eastAsia="方正仿宋_GBK" w:cs="方正仿宋_GBK"/>
          <w:color w:val="000000" w:themeColor="text1"/>
          <w:sz w:val="32"/>
          <w:szCs w:val="32"/>
          <w:highlight w:val="none"/>
          <w:u w:val="single"/>
          <w:lang w:val="en-US" w:eastAsia="zh-CN"/>
          <w14:textFill>
            <w14:solidFill>
              <w14:schemeClr w14:val="tx1"/>
            </w14:solidFill>
          </w14:textFill>
        </w:rPr>
        <w:t>2800</w:t>
      </w:r>
      <w:r>
        <w:rPr>
          <w:rFonts w:hint="eastAsia" w:ascii="方正仿宋_GBK" w:hAnsi="方正仿宋_GBK" w:eastAsia="方正仿宋_GBK" w:cs="方正仿宋_GBK"/>
          <w:color w:val="000000" w:themeColor="text1"/>
          <w:sz w:val="32"/>
          <w:szCs w:val="32"/>
          <w:u w:val="none"/>
          <w:lang w:val="en-US" w:eastAsia="zh-CN"/>
          <w14:textFill>
            <w14:solidFill>
              <w14:schemeClr w14:val="tx1"/>
            </w14:solidFill>
          </w14:textFill>
        </w:rPr>
        <w:t>元/吨</w:t>
      </w:r>
      <w:r>
        <w:rPr>
          <w:rFonts w:hint="eastAsia" w:ascii="仿宋" w:hAnsi="仿宋" w:eastAsia="仿宋" w:cs="楷体"/>
          <w:color w:val="000000" w:themeColor="text1"/>
          <w:sz w:val="32"/>
          <w:szCs w:val="32"/>
          <w14:textFill>
            <w14:solidFill>
              <w14:schemeClr w14:val="tx1"/>
            </w14:solidFill>
          </w14:textFill>
        </w:rPr>
        <w:t>（</w:t>
      </w:r>
      <w:r>
        <w:rPr>
          <w:rFonts w:hint="eastAsia" w:ascii="方正仿宋_GBK" w:hAnsi="方正仿宋_GBK" w:eastAsia="方正仿宋_GBK" w:cs="方正仿宋_GBK"/>
          <w:color w:val="000000" w:themeColor="text1"/>
          <w:sz w:val="32"/>
          <w:szCs w:val="32"/>
          <w:u w:val="none"/>
          <w14:textFill>
            <w14:solidFill>
              <w14:schemeClr w14:val="tx1"/>
            </w14:solidFill>
          </w14:textFill>
        </w:rPr>
        <w:t>甲方2</w:t>
      </w:r>
      <w:r>
        <w:rPr>
          <w:rFonts w:hint="eastAsia" w:ascii="仿宋" w:hAnsi="仿宋" w:eastAsia="仿宋" w:cs="楷体"/>
          <w:color w:val="000000" w:themeColor="text1"/>
          <w:sz w:val="32"/>
          <w:szCs w:val="32"/>
          <w14:textFill>
            <w14:solidFill>
              <w14:schemeClr w14:val="tx1"/>
            </w14:solidFill>
          </w14:textFill>
        </w:rPr>
        <w:t>散装自卸</w:t>
      </w:r>
      <w:r>
        <w:rPr>
          <w:rFonts w:hint="eastAsia" w:ascii="仿宋" w:hAnsi="仿宋" w:eastAsia="仿宋" w:cs="楷体"/>
          <w:color w:val="000000" w:themeColor="text1"/>
          <w:sz w:val="32"/>
          <w:szCs w:val="32"/>
          <w:lang w:val="en-US" w:eastAsia="zh-CN"/>
          <w14:textFill>
            <w14:solidFill>
              <w14:schemeClr w14:val="tx1"/>
            </w14:solidFill>
          </w14:textFill>
        </w:rPr>
        <w:t>仓门</w:t>
      </w:r>
      <w:r>
        <w:rPr>
          <w:rFonts w:hint="eastAsia" w:ascii="仿宋" w:hAnsi="仿宋" w:eastAsia="仿宋" w:cs="楷体"/>
          <w:color w:val="000000" w:themeColor="text1"/>
          <w:sz w:val="32"/>
          <w:szCs w:val="32"/>
          <w14:textFill>
            <w14:solidFill>
              <w14:schemeClr w14:val="tx1"/>
            </w14:solidFill>
          </w14:textFill>
        </w:rPr>
        <w:t>车板价</w:t>
      </w:r>
      <w:r>
        <w:rPr>
          <w:rFonts w:hint="eastAsia" w:ascii="仿宋" w:hAnsi="仿宋" w:eastAsia="仿宋" w:cs="楷体"/>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u w:val="none"/>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为保证储备粮按时轮入和市场价接轨，允许入库价格根据市场价格进行调整，以甲方和中标方双方价格确认书为准，最终入库价格以单仓为单位，以单仓入库平均价格确定为入库价格。</w:t>
      </w:r>
    </w:p>
    <w:p w14:paraId="14CF4F95">
      <w:pPr>
        <w:ind w:firstLine="640" w:firstLineChars="200"/>
        <w:rPr>
          <w:rFonts w:hint="eastAsia" w:ascii="方正仿宋_GBK" w:hAnsi="方正仿宋_GBK" w:eastAsia="仿宋" w:cs="方正仿宋_GBK"/>
          <w:color w:val="000000" w:themeColor="text1"/>
          <w:sz w:val="32"/>
          <w:szCs w:val="32"/>
          <w:lang w:eastAsia="zh-CN"/>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4.入库方式：</w:t>
      </w:r>
      <w:r>
        <w:rPr>
          <w:rFonts w:hint="eastAsia" w:ascii="仿宋" w:hAnsi="仿宋" w:eastAsia="仿宋" w:cs="楷体"/>
          <w:color w:val="000000" w:themeColor="text1"/>
          <w:sz w:val="32"/>
          <w:szCs w:val="32"/>
          <w14:textFill>
            <w14:solidFill>
              <w14:schemeClr w14:val="tx1"/>
            </w14:solidFill>
          </w14:textFill>
        </w:rPr>
        <w:t>由乙方组织供货</w:t>
      </w:r>
      <w:r>
        <w:rPr>
          <w:rFonts w:hint="eastAsia" w:ascii="仿宋" w:hAnsi="仿宋" w:eastAsia="仿宋" w:cs="楷体"/>
          <w:color w:val="000000" w:themeColor="text1"/>
          <w:sz w:val="32"/>
          <w:szCs w:val="32"/>
          <w:lang w:eastAsia="zh-CN"/>
          <w14:textFill>
            <w14:solidFill>
              <w14:schemeClr w14:val="tx1"/>
            </w14:solidFill>
          </w14:textFill>
        </w:rPr>
        <w:t>。</w:t>
      </w:r>
    </w:p>
    <w:p w14:paraId="51692586">
      <w:pPr>
        <w:ind w:right="60" w:rightChars="0" w:firstLine="640" w:firstLineChars="200"/>
        <w:rPr>
          <w:rFonts w:hint="eastAsia" w:ascii="方正仿宋_GBK" w:hAnsi="方正仿宋_GBK" w:eastAsia="方正仿宋_GBK" w:cs="方正仿宋_GBK"/>
          <w:color w:val="000000" w:themeColor="text1"/>
          <w:sz w:val="32"/>
          <w:szCs w:val="32"/>
          <w:highlight w:val="yellow"/>
          <w:lang w:val="en-US" w:eastAsia="zh-CN"/>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5.</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入库</w:t>
      </w:r>
      <w:r>
        <w:rPr>
          <w:rFonts w:hint="eastAsia" w:ascii="方正仿宋_GBK" w:hAnsi="方正仿宋_GBK" w:eastAsia="方正仿宋_GBK" w:cs="方正仿宋_GBK"/>
          <w:color w:val="000000" w:themeColor="text1"/>
          <w:sz w:val="32"/>
          <w:szCs w:val="32"/>
          <w14:textFill>
            <w14:solidFill>
              <w14:schemeClr w14:val="tx1"/>
            </w14:solidFill>
          </w14:textFill>
        </w:rPr>
        <w:t>质量要求</w:t>
      </w:r>
      <w:r>
        <w:rPr>
          <w:rFonts w:hint="eastAsia" w:ascii="方正仿宋_GBK" w:hAnsi="方正仿宋_GBK" w:eastAsia="方正仿宋_GBK" w:cs="方正仿宋_GBK"/>
          <w:color w:val="000000" w:themeColor="text1"/>
          <w:sz w:val="32"/>
          <w:szCs w:val="32"/>
          <w:u w:val="none"/>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2025年度江苏产粳稻，符合国标三等及以上标准，要求水分≤14.5%，每高0.5%，扣量0.65%；高不足0.5%的，不计增扣量；水分&gt;15%拒收；要求杂质≤1%，若杂质1%＜杂质≤2%，过筛回杂(过筛入库，筛下物由卖方带回，</w:t>
      </w:r>
      <w:r>
        <w:rPr>
          <w:rFonts w:hint="eastAsia" w:ascii="方正仿宋_GBK" w:hAnsi="方正仿宋_GBK" w:eastAsia="方正仿宋_GBK" w:cs="方正仿宋_GBK"/>
          <w:sz w:val="32"/>
          <w:szCs w:val="32"/>
        </w:rPr>
        <w:t>整理费用以事前商定一致为准</w:t>
      </w:r>
      <w:r>
        <w:rPr>
          <w:rFonts w:hint="eastAsia" w:ascii="方正仿宋_GBK" w:hAnsi="方正仿宋_GBK" w:eastAsia="方正仿宋_GBK" w:cs="方正仿宋_GBK"/>
          <w:color w:val="000000" w:themeColor="text1"/>
          <w:sz w:val="32"/>
          <w:szCs w:val="32"/>
          <w14:textFill>
            <w14:solidFill>
              <w14:schemeClr w14:val="tx1"/>
            </w14:solidFill>
          </w14:textFill>
        </w:rPr>
        <w:t>)，杂质</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2%原则上拒收;色泽气味正常，无黄粒米，其他质量指标达到国家规定中等标准以上；品质指标宜存，黄曲霉毒素B1＜10ug/kg，铅含量＜0.2mg/kg，镉含量＜0.2mg/kg，其他食品安全卫生指标符合国家食品卫生指标标准，超过规定标准的买方有权拒收。扣价方法：以出米率68%为基准，每低0.5%扣价0.01元/500g，低不足0.5%不扣价，高于68%不增价，出米率低于66%拒收</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乙方供货的粮食不得为陈粮或其他储备轮换粮。</w:t>
      </w:r>
    </w:p>
    <w:p w14:paraId="4110D3B4">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lang w:eastAsia="zh-CN"/>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6.验收办法</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p>
    <w:p w14:paraId="454D8974">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（1）质量确认：入库时双方在交货地验质，如对检验方法、标准或质量结果有异议，可委托具有检验资质的粮食质量检验机构检验，检验费用由异议提出方先行支付，异议成立的，最终由被异议方承担。</w:t>
      </w:r>
    </w:p>
    <w:p w14:paraId="2E75954E">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（2）数量确认：以交货库点地磅称重为准，乙方应当派人监磅，并对数量进行确认。</w:t>
      </w:r>
    </w:p>
    <w:p w14:paraId="7EFD17C4">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（3）乙方如有数量、质量异议应在入库卸货前提出，逾期未提异议的视为交付合格。</w:t>
      </w:r>
    </w:p>
    <w:p w14:paraId="6AAFA6B6">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（4）粮食入库后，甲、乙双方须对入库粮食的存储仓号、数量、质量、价格等进行书面确认。</w:t>
      </w:r>
    </w:p>
    <w:p w14:paraId="5745DDFB">
      <w:pPr>
        <w:keepNext w:val="0"/>
        <w:keepLines w:val="0"/>
        <w:pageBreakBefore w:val="0"/>
        <w:kinsoku/>
        <w:wordWrap/>
        <w:overflowPunct/>
        <w:topLinePunct w:val="0"/>
        <w:autoSpaceDE/>
        <w:autoSpaceDN/>
        <w:bidi w:val="0"/>
        <w:spacing w:line="590" w:lineRule="exact"/>
        <w:ind w:firstLine="560"/>
        <w:jc w:val="left"/>
        <w:textAlignment w:val="auto"/>
        <w:rPr>
          <w:rFonts w:hint="eastAsia" w:ascii="方正黑体_GBK" w:hAnsi="方正黑体_GBK" w:eastAsia="方正黑体_GBK" w:cs="方正黑体_GBK"/>
          <w:b w:val="0"/>
          <w:bCs w:val="0"/>
          <w:color w:val="000000" w:themeColor="text1"/>
          <w:sz w:val="32"/>
          <w:szCs w:val="32"/>
          <w14:textFill>
            <w14:solidFill>
              <w14:schemeClr w14:val="tx1"/>
            </w14:solidFill>
          </w14:textFill>
        </w:rPr>
      </w:pPr>
      <w:r>
        <w:rPr>
          <w:rFonts w:hint="eastAsia" w:ascii="方正黑体_GBK" w:hAnsi="方正黑体_GBK" w:eastAsia="方正黑体_GBK" w:cs="方正黑体_GBK"/>
          <w:b w:val="0"/>
          <w:bCs w:val="0"/>
          <w:color w:val="000000" w:themeColor="text1"/>
          <w:sz w:val="32"/>
          <w:szCs w:val="32"/>
          <w:lang w:val="en-US" w:eastAsia="zh-CN"/>
          <w14:textFill>
            <w14:solidFill>
              <w14:schemeClr w14:val="tx1"/>
            </w14:solidFill>
          </w14:textFill>
        </w:rPr>
        <w:t>二</w:t>
      </w:r>
      <w:r>
        <w:rPr>
          <w:rFonts w:hint="eastAsia" w:ascii="方正黑体_GBK" w:hAnsi="方正黑体_GBK" w:eastAsia="方正黑体_GBK" w:cs="方正黑体_GBK"/>
          <w:b w:val="0"/>
          <w:bCs w:val="0"/>
          <w:color w:val="000000" w:themeColor="text1"/>
          <w:sz w:val="32"/>
          <w:szCs w:val="32"/>
          <w14:textFill>
            <w14:solidFill>
              <w14:schemeClr w14:val="tx1"/>
            </w14:solidFill>
          </w14:textFill>
        </w:rPr>
        <w:t>、双方商定乙方回购事项</w:t>
      </w:r>
    </w:p>
    <w:p w14:paraId="7D37B97C">
      <w:pPr>
        <w:keepNext w:val="0"/>
        <w:keepLines w:val="0"/>
        <w:pageBreakBefore w:val="0"/>
        <w:kinsoku/>
        <w:wordWrap/>
        <w:overflowPunct/>
        <w:topLinePunct w:val="0"/>
        <w:autoSpaceDE/>
        <w:autoSpaceDN/>
        <w:bidi w:val="0"/>
        <w:spacing w:line="590" w:lineRule="exact"/>
        <w:ind w:firstLine="560"/>
        <w:jc w:val="left"/>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hint="eastAsia" w:ascii="仿宋" w:hAnsi="仿宋" w:eastAsia="仿宋" w:cs="仿宋"/>
          <w:color w:val="000000" w:themeColor="text1"/>
          <w:sz w:val="32"/>
          <w:szCs w:val="32"/>
          <w:u w:val="single"/>
          <w:lang w:val="en-US" w:eastAsia="zh-CN"/>
          <w14:textFill>
            <w14:solidFill>
              <w14:schemeClr w14:val="tx1"/>
            </w14:solidFill>
          </w14:textFill>
        </w:rPr>
        <w:t>2026</w:t>
      </w:r>
      <w:r>
        <w:rPr>
          <w:rFonts w:hint="eastAsia" w:ascii="仿宋" w:hAnsi="仿宋" w:eastAsia="仿宋" w:cs="仿宋"/>
          <w:color w:val="000000" w:themeColor="text1"/>
          <w:sz w:val="32"/>
          <w:szCs w:val="32"/>
          <w:highlight w:val="none"/>
          <w:u w:val="single"/>
          <w14:textFill>
            <w14:solidFill>
              <w14:schemeClr w14:val="tx1"/>
            </w14:solidFill>
          </w14:textFill>
        </w:rPr>
        <w:t>年</w:t>
      </w:r>
      <w:r>
        <w:rPr>
          <w:rFonts w:hint="eastAsia" w:ascii="仿宋" w:hAnsi="仿宋" w:eastAsia="仿宋" w:cs="仿宋"/>
          <w:color w:val="000000" w:themeColor="text1"/>
          <w:sz w:val="32"/>
          <w:szCs w:val="32"/>
          <w:highlight w:val="none"/>
          <w:u w:val="single"/>
          <w:lang w:val="en-US" w:eastAsia="zh-CN"/>
          <w14:textFill>
            <w14:solidFill>
              <w14:schemeClr w14:val="tx1"/>
            </w14:solidFill>
          </w14:textFill>
        </w:rPr>
        <w:t>7-9月出库</w:t>
      </w:r>
      <w:r>
        <w:rPr>
          <w:rFonts w:hint="eastAsia" w:ascii="仿宋" w:hAnsi="仿宋" w:eastAsia="仿宋" w:cs="楷体"/>
          <w:color w:val="000000" w:themeColor="text1"/>
          <w:sz w:val="32"/>
          <w:szCs w:val="32"/>
          <w:u w:val="single"/>
          <w:lang w:val="en-US" w:eastAsia="zh-CN"/>
          <w14:textFill>
            <w14:solidFill>
              <w14:schemeClr w14:val="tx1"/>
            </w14:solidFill>
          </w14:textFill>
        </w:rPr>
        <w:t>2380</w:t>
      </w:r>
      <w:r>
        <w:rPr>
          <w:rFonts w:hint="eastAsia" w:ascii="仿宋" w:hAnsi="仿宋" w:eastAsia="仿宋" w:cs="仿宋"/>
          <w:color w:val="000000" w:themeColor="text1"/>
          <w:sz w:val="32"/>
          <w:szCs w:val="32"/>
          <w:highlight w:val="none"/>
          <w:u w:val="single"/>
          <w:lang w:val="en-US" w:eastAsia="zh-CN"/>
          <w14:textFill>
            <w14:solidFill>
              <w14:schemeClr w14:val="tx1"/>
            </w14:solidFill>
          </w14:textFill>
        </w:rPr>
        <w:t>吨、</w:t>
      </w:r>
      <w:r>
        <w:rPr>
          <w:rFonts w:hint="eastAsia" w:ascii="仿宋" w:hAnsi="仿宋" w:eastAsia="仿宋" w:cs="仿宋"/>
          <w:sz w:val="32"/>
          <w:szCs w:val="32"/>
          <w:highlight w:val="none"/>
          <w:u w:val="single"/>
          <w:lang w:val="en-US" w:eastAsia="zh-CN"/>
        </w:rPr>
        <w:t>2027年7-9月出库2380吨、2027年8-9月出库2380吨</w:t>
      </w:r>
      <w:r>
        <w:rPr>
          <w:rFonts w:hint="eastAsia" w:ascii="方正仿宋_GBK" w:hAnsi="方正仿宋_GBK" w:eastAsia="方正仿宋_GBK" w:cs="方正仿宋_GBK"/>
          <w:color w:val="000000" w:themeColor="text1"/>
          <w:sz w:val="32"/>
          <w:szCs w:val="32"/>
          <w14:textFill>
            <w14:solidFill>
              <w14:schemeClr w14:val="tx1"/>
            </w14:solidFill>
          </w14:textFill>
        </w:rPr>
        <w:t>（甲方按照省级储备粮月末库存不低于总量70%开展轮换实施。如合同中的储备粮被政府调用，本次购销合作双向交易中的销售合同终止履行，乙方不得强求甲方履行合同或要求甲方承担违约责任，乙方的权益按照五</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、3</w:t>
      </w:r>
      <w:r>
        <w:rPr>
          <w:rFonts w:hint="eastAsia" w:ascii="方正仿宋_GBK" w:hAnsi="方正仿宋_GBK" w:eastAsia="方正仿宋_GBK" w:cs="方正仿宋_GBK"/>
          <w:color w:val="000000" w:themeColor="text1"/>
          <w:sz w:val="32"/>
          <w:szCs w:val="32"/>
          <w14:textFill>
            <w14:solidFill>
              <w14:schemeClr w14:val="tx1"/>
            </w14:solidFill>
          </w14:textFill>
        </w:rPr>
        <w:t>条款中内容补偿。）</w:t>
      </w:r>
    </w:p>
    <w:p w14:paraId="31DA9229">
      <w:pPr>
        <w:keepNext w:val="0"/>
        <w:keepLines w:val="0"/>
        <w:pageBreakBefore w:val="0"/>
        <w:kinsoku/>
        <w:wordWrap/>
        <w:overflowPunct/>
        <w:topLinePunct w:val="0"/>
        <w:autoSpaceDE/>
        <w:autoSpaceDN/>
        <w:bidi w:val="0"/>
        <w:spacing w:line="590" w:lineRule="exact"/>
        <w:ind w:firstLine="560"/>
        <w:jc w:val="left"/>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2.根据竞价交易结果，在设定初始采购价</w:t>
      </w:r>
      <w:r>
        <w:rPr>
          <w:rFonts w:hint="eastAsia" w:ascii="方正仿宋_GBK" w:hAnsi="方正仿宋_GBK" w:eastAsia="方正仿宋_GBK" w:cs="方正仿宋_GBK"/>
          <w:color w:val="000000" w:themeColor="text1"/>
          <w:sz w:val="32"/>
          <w:szCs w:val="32"/>
          <w:highlight w:val="none"/>
          <w:u w:val="single"/>
          <w:lang w:val="en-US" w:eastAsia="zh-CN"/>
          <w14:textFill>
            <w14:solidFill>
              <w14:schemeClr w14:val="tx1"/>
            </w14:solidFill>
          </w14:textFill>
        </w:rPr>
        <w:t>2800</w:t>
      </w:r>
      <w:r>
        <w:rPr>
          <w:rFonts w:hint="eastAsia" w:ascii="方正仿宋_GBK" w:hAnsi="方正仿宋_GBK" w:eastAsia="方正仿宋_GBK" w:cs="方正仿宋_GBK"/>
          <w:color w:val="000000" w:themeColor="text1"/>
          <w:sz w:val="32"/>
          <w:szCs w:val="32"/>
          <w14:textFill>
            <w14:solidFill>
              <w14:schemeClr w14:val="tx1"/>
            </w14:solidFill>
          </w14:textFill>
        </w:rPr>
        <w:t>元/吨基础上的回购价格及价差，即</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仓</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门</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车板价</w:t>
      </w:r>
      <w:r>
        <w:rPr>
          <w:rFonts w:hint="eastAsia" w:ascii="方正仿宋_GBK" w:hAnsi="方正仿宋_GBK" w:eastAsia="方正仿宋_GBK" w:cs="方正仿宋_GBK"/>
          <w:color w:val="000000" w:themeColor="text1"/>
          <w:sz w:val="32"/>
          <w:szCs w:val="32"/>
          <w14:textFill>
            <w14:solidFill>
              <w14:schemeClr w14:val="tx1"/>
            </w14:solidFill>
          </w14:textFill>
        </w:rPr>
        <w:t>：</w:t>
      </w:r>
      <w:r>
        <w:rPr>
          <w:rFonts w:hint="eastAsia" w:ascii="仿宋" w:hAnsi="仿宋" w:eastAsia="仿宋" w:cs="仿宋"/>
          <w:color w:val="000000" w:themeColor="text1"/>
          <w:sz w:val="32"/>
          <w:szCs w:val="32"/>
          <w:u w:val="single"/>
          <w:lang w:val="en-US" w:eastAsia="zh-CN"/>
          <w14:textFill>
            <w14:solidFill>
              <w14:schemeClr w14:val="tx1"/>
            </w14:solidFill>
          </w14:textFill>
        </w:rPr>
        <w:t>**</w:t>
      </w:r>
      <w:r>
        <w:rPr>
          <w:rFonts w:hint="eastAsia" w:ascii="仿宋" w:hAnsi="仿宋" w:eastAsia="仿宋" w:cs="仿宋"/>
          <w:color w:val="000000" w:themeColor="text1"/>
          <w:sz w:val="32"/>
          <w:szCs w:val="32"/>
          <w:u w:val="none"/>
          <w:lang w:val="en-US" w:eastAsia="zh-CN"/>
          <w14:textFill>
            <w14:solidFill>
              <w14:schemeClr w14:val="tx1"/>
            </w14:solidFill>
          </w14:textFill>
        </w:rPr>
        <w:t>元/吨</w:t>
      </w:r>
      <w:r>
        <w:rPr>
          <w:rFonts w:hint="eastAsia" w:ascii="方正仿宋_GBK" w:hAnsi="方正仿宋_GBK" w:eastAsia="方正仿宋_GBK" w:cs="方正仿宋_GBK"/>
          <w:color w:val="000000" w:themeColor="text1"/>
          <w:sz w:val="32"/>
          <w:szCs w:val="32"/>
          <w14:textFill>
            <w14:solidFill>
              <w14:schemeClr w14:val="tx1"/>
            </w14:solidFill>
          </w14:textFill>
        </w:rPr>
        <w:t>（</w:t>
      </w:r>
      <w:r>
        <w:rPr>
          <w:rFonts w:hint="eastAsia" w:ascii="方正仿宋_GBK" w:hAnsi="方正仿宋_GBK" w:eastAsia="方正仿宋_GBK" w:cs="方正仿宋_GBK"/>
          <w:color w:val="000000" w:themeColor="text1"/>
          <w:sz w:val="32"/>
          <w:szCs w:val="32"/>
          <w:u w:val="none"/>
          <w:lang w:val="en-US" w:eastAsia="zh-CN"/>
          <w14:textFill>
            <w14:solidFill>
              <w14:schemeClr w14:val="tx1"/>
            </w14:solidFill>
          </w14:textFill>
        </w:rPr>
        <w:t>本处价格由竞价交易产生</w:t>
      </w:r>
      <w:r>
        <w:rPr>
          <w:rFonts w:hint="eastAsia" w:ascii="方正仿宋_GBK" w:hAnsi="方正仿宋_GBK" w:eastAsia="方正仿宋_GBK" w:cs="方正仿宋_GBK"/>
          <w:color w:val="000000" w:themeColor="text1"/>
          <w:sz w:val="32"/>
          <w:szCs w:val="32"/>
          <w:u w:val="none"/>
          <w14:textFill>
            <w14:solidFill>
              <w14:schemeClr w14:val="tx1"/>
            </w14:solidFill>
          </w14:textFill>
        </w:rPr>
        <w:t>）</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若实际入库价格调整，乙方回购的最终销售价=成交价-设定初始采购价+入库平均价格。(最终销售价高于成交价时，买卖双方签订补充协议，超出部分的货款在线下完成收付。）</w:t>
      </w:r>
    </w:p>
    <w:p w14:paraId="206744E6">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3.回购粮食数量以入库数量为准，以单个仓房为单位，双方按照保管账面数结算，合理损耗部分由乙方承担。</w:t>
      </w:r>
    </w:p>
    <w:p w14:paraId="39A7C5B7">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highlight w:val="none"/>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4.回购粮食质量以在库粮食质量为准，甲方2提供</w:t>
      </w:r>
      <w:r>
        <w:rPr>
          <w:rFonts w:hint="eastAsia" w:ascii="方正仿宋_GBK" w:hAnsi="方正仿宋_GBK" w:eastAsia="方正仿宋_GBK" w:cs="方正仿宋_GBK"/>
          <w:color w:val="000000" w:themeColor="text1"/>
          <w:sz w:val="32"/>
          <w:szCs w:val="32"/>
          <w:highlight w:val="none"/>
          <w:lang w:val="en-US" w:eastAsia="zh-CN"/>
          <w14:textFill>
            <w14:solidFill>
              <w14:schemeClr w14:val="tx1"/>
            </w14:solidFill>
          </w14:textFill>
        </w:rPr>
        <w:t>符合相关规定的</w:t>
      </w:r>
      <w:r>
        <w:rPr>
          <w:rFonts w:hint="eastAsia" w:ascii="方正仿宋_GBK" w:hAnsi="方正仿宋_GBK" w:eastAsia="方正仿宋_GBK" w:cs="方正仿宋_GBK"/>
          <w:color w:val="000000" w:themeColor="text1"/>
          <w:sz w:val="32"/>
          <w:szCs w:val="32"/>
          <w:highlight w:val="none"/>
          <w14:textFill>
            <w14:solidFill>
              <w14:schemeClr w14:val="tx1"/>
            </w14:solidFill>
          </w14:textFill>
        </w:rPr>
        <w:t>检验报告。</w:t>
      </w:r>
    </w:p>
    <w:p w14:paraId="08CEE7E8">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黑体_GBK" w:hAnsi="方正黑体_GBK" w:eastAsia="方正黑体_GBK" w:cs="方正黑体_GBK"/>
          <w:b w:val="0"/>
          <w:bCs w:val="0"/>
          <w:color w:val="000000" w:themeColor="text1"/>
          <w:sz w:val="32"/>
          <w:szCs w:val="32"/>
          <w:lang w:val="en-US" w:eastAsia="zh-CN"/>
          <w14:textFill>
            <w14:solidFill>
              <w14:schemeClr w14:val="tx1"/>
            </w14:solidFill>
          </w14:textFill>
        </w:rPr>
      </w:pPr>
      <w:r>
        <w:rPr>
          <w:rFonts w:hint="eastAsia" w:ascii="方正黑体_GBK" w:hAnsi="方正黑体_GBK" w:eastAsia="方正黑体_GBK" w:cs="方正黑体_GBK"/>
          <w:b w:val="0"/>
          <w:bCs w:val="0"/>
          <w:color w:val="000000" w:themeColor="text1"/>
          <w:sz w:val="32"/>
          <w:szCs w:val="32"/>
          <w:lang w:val="en-US" w:eastAsia="zh-CN"/>
          <w14:textFill>
            <w14:solidFill>
              <w14:schemeClr w14:val="tx1"/>
            </w14:solidFill>
          </w14:textFill>
        </w:rPr>
        <w:t>三、合同定金及保证金的支付与退还</w:t>
      </w:r>
    </w:p>
    <w:p w14:paraId="2BDB9720">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1.</w:t>
      </w:r>
      <w:r>
        <w:rPr>
          <w:rFonts w:hint="eastAsia" w:ascii="方正仿宋_GBK" w:hAnsi="方正仿宋_GBK" w:eastAsia="方正仿宋_GBK" w:cs="方正仿宋_GBK"/>
          <w:color w:val="000000" w:themeColor="text1"/>
          <w:sz w:val="32"/>
          <w:szCs w:val="32"/>
          <w14:textFill>
            <w14:solidFill>
              <w14:schemeClr w14:val="tx1"/>
            </w14:solidFill>
          </w14:textFill>
        </w:rPr>
        <w:t>乙方除向江苏市场等第三方缴纳规定的交易保证金外，需向甲方1另交纳合同定金100元/吨，定金交付后，交易系统内的购、销双向交易合同正式生效，该项定金适用于双倍罚则。</w:t>
      </w:r>
    </w:p>
    <w:p w14:paraId="7253A8CD">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2.</w:t>
      </w:r>
      <w:r>
        <w:rPr>
          <w:rFonts w:hint="eastAsia" w:ascii="方正仿宋_GBK" w:hAnsi="方正仿宋_GBK" w:eastAsia="方正仿宋_GBK" w:cs="方正仿宋_GBK"/>
          <w:color w:val="000000" w:themeColor="text1"/>
          <w:sz w:val="32"/>
          <w:szCs w:val="32"/>
          <w14:textFill>
            <w14:solidFill>
              <w14:schemeClr w14:val="tx1"/>
            </w14:solidFill>
          </w14:textFill>
        </w:rPr>
        <w:t>乙方需按货款金额的10％向甲方1缴纳风险保证金</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包含乙方向省交易市场缴纳的销售交易保证金10元/吨</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。甲方1根据收购入库进度分批次收取风险保证金，合同定金可转为风险保证金。风险保证金不计利息，在乙方回购阶段</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以单仓为单位</w:t>
      </w:r>
      <w:r>
        <w:rPr>
          <w:rFonts w:hint="eastAsia" w:ascii="方正仿宋_GBK" w:hAnsi="方正仿宋_GBK" w:eastAsia="方正仿宋_GBK" w:cs="方正仿宋_GBK"/>
          <w:color w:val="000000" w:themeColor="text1"/>
          <w:sz w:val="32"/>
          <w:szCs w:val="32"/>
          <w14:textFill>
            <w14:solidFill>
              <w14:schemeClr w14:val="tx1"/>
            </w14:solidFill>
          </w14:textFill>
        </w:rPr>
        <w:t>最后一批粮食出库</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后</w:t>
      </w:r>
      <w:r>
        <w:rPr>
          <w:rFonts w:hint="eastAsia" w:ascii="方正仿宋_GBK" w:hAnsi="方正仿宋_GBK" w:eastAsia="方正仿宋_GBK" w:cs="方正仿宋_GBK"/>
          <w:color w:val="000000" w:themeColor="text1"/>
          <w:sz w:val="32"/>
          <w:szCs w:val="32"/>
          <w14:textFill>
            <w14:solidFill>
              <w14:schemeClr w14:val="tx1"/>
            </w14:solidFill>
          </w14:textFill>
        </w:rPr>
        <w:t>退回至乙方。</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如粳稻市场价低于最低收购价，乙方需按甲方通知时间截止期内，及时补足保证金，否则视为乙方违约。</w:t>
      </w:r>
    </w:p>
    <w:p w14:paraId="21BF23D9">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3.</w:t>
      </w:r>
      <w:r>
        <w:rPr>
          <w:rFonts w:hint="eastAsia" w:ascii="方正仿宋_GBK" w:hAnsi="方正仿宋_GBK" w:eastAsia="方正仿宋_GBK" w:cs="方正仿宋_GBK"/>
          <w:color w:val="000000" w:themeColor="text1"/>
          <w:sz w:val="32"/>
          <w:szCs w:val="32"/>
          <w14:textFill>
            <w14:solidFill>
              <w14:schemeClr w14:val="tx1"/>
            </w14:solidFill>
          </w14:textFill>
        </w:rPr>
        <w:t>采购合同项下，买卖双方自主交割，甲方2在规定的合同入库期限（</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2025</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年</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11</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月</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25</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日前完成入库粮食</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2380</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吨</w:t>
      </w:r>
      <w:r>
        <w:rPr>
          <w:rFonts w:hint="eastAsia" w:ascii="方正仿宋_GBK" w:hAnsi="方正仿宋_GBK" w:eastAsia="方正仿宋_GBK" w:cs="方正仿宋_GBK"/>
          <w:color w:val="000000" w:themeColor="text1"/>
          <w:sz w:val="32"/>
          <w:szCs w:val="32"/>
          <w:u w:val="single"/>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2025</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年</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12</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月</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25</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日</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前完成入库粮食累计7140吨</w:t>
      </w:r>
      <w:r>
        <w:rPr>
          <w:rFonts w:hint="eastAsia" w:ascii="方正仿宋_GBK" w:hAnsi="方正仿宋_GBK" w:eastAsia="方正仿宋_GBK" w:cs="方正仿宋_GBK"/>
          <w:color w:val="000000" w:themeColor="text1"/>
          <w:sz w:val="32"/>
          <w:szCs w:val="32"/>
          <w14:textFill>
            <w14:solidFill>
              <w14:schemeClr w14:val="tx1"/>
            </w14:solidFill>
          </w14:textFill>
        </w:rPr>
        <w:t>）内按到货进度付款，采购合同交割期截止日以清单为准，采购合同完成</w:t>
      </w:r>
      <w:bookmarkStart w:id="0" w:name="_GoBack"/>
      <w:bookmarkEnd w:id="0"/>
      <w:r>
        <w:rPr>
          <w:rFonts w:hint="eastAsia" w:ascii="方正仿宋_GBK" w:hAnsi="方正仿宋_GBK" w:eastAsia="方正仿宋_GBK" w:cs="方正仿宋_GBK"/>
          <w:color w:val="000000" w:themeColor="text1"/>
          <w:sz w:val="32"/>
          <w:szCs w:val="32"/>
          <w14:textFill>
            <w14:solidFill>
              <w14:schemeClr w14:val="tx1"/>
            </w14:solidFill>
          </w14:textFill>
        </w:rPr>
        <w:t>率必须达到100%（允许误差以甲方与乙方签订的数量质量价格确认单为准），乙方需提供相应增值税发票或提供相应的有效收购证明后方可确认交易完成。双方交收完毕后江苏市场凭双方签订的采购确认单等有效文件清退定金。</w:t>
      </w:r>
    </w:p>
    <w:p w14:paraId="06BE4156">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pP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4.</w:t>
      </w:r>
      <w:r>
        <w:rPr>
          <w:rFonts w:hint="eastAsia" w:ascii="方正仿宋_GBK" w:hAnsi="方正仿宋_GBK" w:eastAsia="方正仿宋_GBK" w:cs="方正仿宋_GBK"/>
          <w:color w:val="000000" w:themeColor="text1"/>
          <w:sz w:val="32"/>
          <w:szCs w:val="32"/>
          <w14:textFill>
            <w14:solidFill>
              <w14:schemeClr w14:val="tx1"/>
            </w14:solidFill>
          </w14:textFill>
        </w:rPr>
        <w:t>销售合同项下，在合同交割期内，乙方需将货款汇至江苏市场账户（与保证金账户一致）并在系统申请开具出库通知单，凭市场出库单及身份证明到甲方2提货。销售粮食交收完毕，甲乙双方在系统签订“验收确认单”后，江苏市场退还乙方扣除手续费部分的保证金（与中标结果数量、价格差异部分由</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甲</w:t>
      </w:r>
      <w:r>
        <w:rPr>
          <w:rFonts w:hint="eastAsia" w:ascii="方正仿宋_GBK" w:hAnsi="方正仿宋_GBK" w:eastAsia="方正仿宋_GBK" w:cs="方正仿宋_GBK"/>
          <w:color w:val="000000" w:themeColor="text1"/>
          <w:sz w:val="32"/>
          <w:szCs w:val="32"/>
          <w14:textFill>
            <w14:solidFill>
              <w14:schemeClr w14:val="tx1"/>
            </w14:solidFill>
          </w14:textFill>
        </w:rPr>
        <w:t>方与</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乙</w:t>
      </w:r>
      <w:r>
        <w:rPr>
          <w:rFonts w:hint="eastAsia" w:ascii="方正仿宋_GBK" w:hAnsi="方正仿宋_GBK" w:eastAsia="方正仿宋_GBK" w:cs="方正仿宋_GBK"/>
          <w:color w:val="000000" w:themeColor="text1"/>
          <w:sz w:val="32"/>
          <w:szCs w:val="32"/>
          <w14:textFill>
            <w14:solidFill>
              <w14:schemeClr w14:val="tx1"/>
            </w14:solidFill>
          </w14:textFill>
        </w:rPr>
        <w:t>方按</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实结算</w:t>
      </w:r>
      <w:r>
        <w:rPr>
          <w:rFonts w:hint="eastAsia" w:ascii="方正仿宋_GBK" w:hAnsi="方正仿宋_GBK" w:eastAsia="方正仿宋_GBK" w:cs="方正仿宋_GBK"/>
          <w:color w:val="000000" w:themeColor="text1"/>
          <w:sz w:val="32"/>
          <w:szCs w:val="32"/>
          <w14:textFill>
            <w14:solidFill>
              <w14:schemeClr w14:val="tx1"/>
            </w14:solidFill>
          </w14:textFill>
        </w:rPr>
        <w:t>）。</w:t>
      </w:r>
    </w:p>
    <w:p w14:paraId="6DD568B3">
      <w:pPr>
        <w:keepNext w:val="0"/>
        <w:keepLines w:val="0"/>
        <w:pageBreakBefore w:val="0"/>
        <w:kinsoku/>
        <w:wordWrap/>
        <w:overflowPunct/>
        <w:topLinePunct w:val="0"/>
        <w:autoSpaceDE/>
        <w:autoSpaceDN/>
        <w:bidi w:val="0"/>
        <w:spacing w:line="590" w:lineRule="exact"/>
        <w:ind w:firstLine="640" w:firstLineChars="200"/>
        <w:jc w:val="left"/>
        <w:textAlignment w:val="auto"/>
        <w:rPr>
          <w:rFonts w:hint="eastAsia" w:ascii="方正黑体_GBK" w:hAnsi="方正黑体_GBK" w:eastAsia="方正黑体_GBK" w:cs="方正黑体_GBK"/>
          <w:b w:val="0"/>
          <w:bCs w:val="0"/>
          <w:color w:val="000000" w:themeColor="text1"/>
          <w:sz w:val="32"/>
          <w:szCs w:val="32"/>
          <w14:textFill>
            <w14:solidFill>
              <w14:schemeClr w14:val="tx1"/>
            </w14:solidFill>
          </w14:textFill>
        </w:rPr>
      </w:pPr>
      <w:r>
        <w:rPr>
          <w:rFonts w:hint="eastAsia" w:ascii="方正黑体_GBK" w:hAnsi="方正黑体_GBK" w:eastAsia="方正黑体_GBK" w:cs="方正黑体_GBK"/>
          <w:b w:val="0"/>
          <w:bCs w:val="0"/>
          <w:color w:val="000000" w:themeColor="text1"/>
          <w:sz w:val="32"/>
          <w:szCs w:val="32"/>
          <w14:textFill>
            <w14:solidFill>
              <w14:schemeClr w14:val="tx1"/>
            </w14:solidFill>
          </w14:textFill>
        </w:rPr>
        <w:t>四、费用结算和发票开具</w:t>
      </w:r>
    </w:p>
    <w:p w14:paraId="31E8D8B1">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1.入库结算</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甲方1根据甲方2的收购进度预拨给甲方2收购款，甲方2按照货到进度付款</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乙方自行组织货源，乙方向甲方2开具相应的增值税发票；</w:t>
      </w:r>
    </w:p>
    <w:p w14:paraId="56A59FF5">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2.销售结算</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乙方根据甲方通知，先款后货，凭出库通知单提货，根据收款单位，由甲方向乙方开具相应的增值税发票。</w:t>
      </w:r>
    </w:p>
    <w:p w14:paraId="77339265">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3.进出库费用</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乙方组织进库时仓</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门</w:t>
      </w:r>
      <w:r>
        <w:rPr>
          <w:rFonts w:hint="eastAsia" w:ascii="方正仿宋_GBK" w:hAnsi="方正仿宋_GBK" w:eastAsia="方正仿宋_GBK" w:cs="方正仿宋_GBK"/>
          <w:color w:val="000000" w:themeColor="text1"/>
          <w:sz w:val="32"/>
          <w:szCs w:val="32"/>
          <w14:textFill>
            <w14:solidFill>
              <w14:schemeClr w14:val="tx1"/>
            </w14:solidFill>
          </w14:textFill>
        </w:rPr>
        <w:t>散装车</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船</w:t>
      </w:r>
      <w:r>
        <w:rPr>
          <w:rFonts w:hint="eastAsia" w:ascii="方正仿宋_GBK" w:hAnsi="方正仿宋_GBK" w:eastAsia="方正仿宋_GBK" w:cs="方正仿宋_GBK"/>
          <w:color w:val="000000" w:themeColor="text1"/>
          <w:sz w:val="32"/>
          <w:szCs w:val="32"/>
          <w14:textFill>
            <w14:solidFill>
              <w14:schemeClr w14:val="tx1"/>
            </w14:solidFill>
          </w14:textFill>
        </w:rPr>
        <w:t>板前费用由乙方承担（包括但不限于过筛费、扒车费、卸船费等）；出库时仓</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门</w:t>
      </w:r>
      <w:r>
        <w:rPr>
          <w:rFonts w:hint="eastAsia" w:ascii="方正仿宋_GBK" w:hAnsi="方正仿宋_GBK" w:eastAsia="方正仿宋_GBK" w:cs="方正仿宋_GBK"/>
          <w:color w:val="000000" w:themeColor="text1"/>
          <w:sz w:val="32"/>
          <w:szCs w:val="32"/>
          <w14:textFill>
            <w14:solidFill>
              <w14:schemeClr w14:val="tx1"/>
            </w14:solidFill>
          </w14:textFill>
        </w:rPr>
        <w:t>散装车</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船</w:t>
      </w:r>
      <w:r>
        <w:rPr>
          <w:rFonts w:hint="eastAsia" w:ascii="方正仿宋_GBK" w:hAnsi="方正仿宋_GBK" w:eastAsia="方正仿宋_GBK" w:cs="方正仿宋_GBK"/>
          <w:color w:val="000000" w:themeColor="text1"/>
          <w:sz w:val="32"/>
          <w:szCs w:val="32"/>
          <w14:textFill>
            <w14:solidFill>
              <w14:schemeClr w14:val="tx1"/>
            </w14:solidFill>
          </w14:textFill>
        </w:rPr>
        <w:t>板后费用由乙方承担。</w:t>
      </w:r>
    </w:p>
    <w:p w14:paraId="7F83649D">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eastAsia" w:ascii="方正黑体_GBK" w:hAnsi="方正黑体_GBK" w:eastAsia="方正黑体_GBK" w:cs="方正黑体_GBK"/>
          <w:b w:val="0"/>
          <w:bCs w:val="0"/>
          <w:color w:val="000000" w:themeColor="text1"/>
          <w:sz w:val="32"/>
          <w:szCs w:val="32"/>
          <w14:textFill>
            <w14:solidFill>
              <w14:schemeClr w14:val="tx1"/>
            </w14:solidFill>
          </w14:textFill>
        </w:rPr>
      </w:pPr>
      <w:r>
        <w:rPr>
          <w:rFonts w:hint="eastAsia" w:ascii="方正黑体_GBK" w:hAnsi="方正黑体_GBK" w:eastAsia="方正黑体_GBK" w:cs="方正黑体_GBK"/>
          <w:b w:val="0"/>
          <w:bCs w:val="0"/>
          <w:color w:val="000000" w:themeColor="text1"/>
          <w:sz w:val="32"/>
          <w:szCs w:val="32"/>
          <w14:textFill>
            <w14:solidFill>
              <w14:schemeClr w14:val="tx1"/>
            </w14:solidFill>
          </w14:textFill>
        </w:rPr>
        <w:t>五、其他条款：</w:t>
      </w:r>
    </w:p>
    <w:p w14:paraId="05B4E7C5">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油）采购（轮入）和销售（轮出）。采购价格固定，竞价方只需对销售标的物的底价进行竞价，一旦竞价销售标的物竞价成交，则相对应的采购标的物同时成交，最终销售价以竞价交易确认的成交价为依据、并按本合同 “</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二</w:t>
      </w:r>
      <w:r>
        <w:rPr>
          <w:rFonts w:hint="eastAsia" w:ascii="方正仿宋_GBK" w:hAnsi="方正仿宋_GBK" w:eastAsia="方正仿宋_GBK" w:cs="方正仿宋_GBK"/>
          <w:color w:val="000000" w:themeColor="text1"/>
          <w:sz w:val="32"/>
          <w:szCs w:val="32"/>
          <w14:textFill>
            <w14:solidFill>
              <w14:schemeClr w14:val="tx1"/>
            </w14:solidFill>
          </w14:textFill>
        </w:rPr>
        <w:t>、2”条款计算确认。</w:t>
      </w:r>
    </w:p>
    <w:p w14:paraId="4EF5C700">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2.竞价成功获得合作购销权利后，乙方需与甲方签订本合同，原则上</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7个工作日</w:t>
      </w:r>
      <w:r>
        <w:rPr>
          <w:rFonts w:hint="eastAsia" w:ascii="方正仿宋_GBK" w:hAnsi="方正仿宋_GBK" w:eastAsia="方正仿宋_GBK" w:cs="方正仿宋_GBK"/>
          <w:color w:val="000000" w:themeColor="text1"/>
          <w:sz w:val="32"/>
          <w:szCs w:val="32"/>
          <w14:textFill>
            <w14:solidFill>
              <w14:schemeClr w14:val="tx1"/>
            </w14:solidFill>
          </w14:textFill>
        </w:rPr>
        <w:t xml:space="preserve">不签订本合同，认定为乙方竞价中标后违约。 </w:t>
      </w:r>
    </w:p>
    <w:p w14:paraId="6F7D7441">
      <w:pPr>
        <w:keepNext w:val="0"/>
        <w:keepLines w:val="0"/>
        <w:pageBreakBefore w:val="0"/>
        <w:kinsoku/>
        <w:wordWrap/>
        <w:overflowPunct/>
        <w:topLinePunct w:val="0"/>
        <w:autoSpaceDE/>
        <w:autoSpaceDN/>
        <w:bidi w:val="0"/>
        <w:spacing w:line="590" w:lineRule="exact"/>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b/>
          <w:bCs/>
          <w:color w:val="000000" w:themeColor="text1"/>
          <w:sz w:val="32"/>
          <w:szCs w:val="32"/>
          <w:lang w:val="en-US" w:eastAsia="zh-CN"/>
          <w14:textFill>
            <w14:solidFill>
              <w14:schemeClr w14:val="tx1"/>
            </w14:solidFill>
          </w14:textFill>
        </w:rPr>
        <w:t xml:space="preserve">    </w:t>
      </w:r>
      <w:r>
        <w:rPr>
          <w:rFonts w:hint="eastAsia" w:ascii="方正仿宋_GBK" w:hAnsi="方正仿宋_GBK" w:eastAsia="方正仿宋_GBK" w:cs="方正仿宋_GBK"/>
          <w:b w:val="0"/>
          <w:bCs w:val="0"/>
          <w:color w:val="000000" w:themeColor="text1"/>
          <w:sz w:val="32"/>
          <w:szCs w:val="32"/>
          <w:lang w:val="en-US" w:eastAsia="zh-CN"/>
          <w14:textFill>
            <w14:solidFill>
              <w14:schemeClr w14:val="tx1"/>
            </w14:solidFill>
          </w14:textFill>
        </w:rPr>
        <w:t>3.</w:t>
      </w:r>
      <w:r>
        <w:rPr>
          <w:rFonts w:hint="eastAsia" w:ascii="方正仿宋_GBK" w:hAnsi="方正仿宋_GBK" w:eastAsia="方正仿宋_GBK" w:cs="方正仿宋_GBK"/>
          <w:color w:val="000000" w:themeColor="text1"/>
          <w:sz w:val="32"/>
          <w:szCs w:val="32"/>
          <w14:textFill>
            <w14:solidFill>
              <w14:schemeClr w14:val="tx1"/>
            </w14:solidFill>
          </w14:textFill>
        </w:rPr>
        <w:t>如遇政策调控，甲乙双方应无条件服从政府调控需要，互不承担违约责任。甲方按上级制定的调拨价格扣除相关税费后全额与乙方进行结算。</w:t>
      </w:r>
    </w:p>
    <w:p w14:paraId="68F050C4">
      <w:pPr>
        <w:keepNext w:val="0"/>
        <w:keepLines w:val="0"/>
        <w:pageBreakBefore w:val="0"/>
        <w:kinsoku/>
        <w:wordWrap/>
        <w:overflowPunct/>
        <w:topLinePunct w:val="0"/>
        <w:autoSpaceDE/>
        <w:autoSpaceDN/>
        <w:bidi w:val="0"/>
        <w:spacing w:line="590" w:lineRule="exact"/>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 xml:space="preserve">   </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4.</w:t>
      </w:r>
      <w:r>
        <w:rPr>
          <w:rFonts w:hint="eastAsia" w:ascii="方正仿宋_GBK" w:hAnsi="方正仿宋_GBK" w:eastAsia="方正仿宋_GBK" w:cs="方正仿宋_GBK"/>
          <w:color w:val="000000" w:themeColor="text1"/>
          <w:sz w:val="32"/>
          <w:szCs w:val="32"/>
          <w14:textFill>
            <w14:solidFill>
              <w14:schemeClr w14:val="tx1"/>
            </w14:solidFill>
          </w14:textFill>
        </w:rPr>
        <w:t>粮食入库后由甲方2保管，并确保保管期间的入库粮食数量真实、质量良好。储存期间需符合地方储备粮管理规定，入库完毕后双方共同确认数量和质量。</w:t>
      </w:r>
    </w:p>
    <w:p w14:paraId="3AF511F3">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5.</w:t>
      </w:r>
      <w:r>
        <w:rPr>
          <w:rFonts w:hint="eastAsia" w:ascii="方正仿宋_GBK" w:hAnsi="方正仿宋_GBK" w:eastAsia="方正仿宋_GBK" w:cs="方正仿宋_GBK"/>
          <w:color w:val="000000" w:themeColor="text1"/>
          <w:sz w:val="32"/>
          <w:szCs w:val="32"/>
          <w14:textFill>
            <w14:solidFill>
              <w14:schemeClr w14:val="tx1"/>
            </w14:solidFill>
          </w14:textFill>
        </w:rPr>
        <w:t>该批粮食的实际水杂减量和保管损耗由乙方承担。提货时甲方2每开一个仓，乙方必须在</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20</w:t>
      </w:r>
      <w:r>
        <w:rPr>
          <w:rFonts w:hint="eastAsia" w:ascii="方正仿宋_GBK" w:hAnsi="方正仿宋_GBK" w:eastAsia="方正仿宋_GBK" w:cs="方正仿宋_GBK"/>
          <w:color w:val="000000" w:themeColor="text1"/>
          <w:sz w:val="32"/>
          <w:szCs w:val="32"/>
          <w14:textFill>
            <w14:solidFill>
              <w14:schemeClr w14:val="tx1"/>
            </w14:solidFill>
          </w14:textFill>
        </w:rPr>
        <w:t>日历日内提完，避免动仓后粮食质量下降</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因乙方未按要求及时</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提货</w:t>
      </w:r>
      <w:r>
        <w:rPr>
          <w:rFonts w:hint="eastAsia" w:ascii="方正仿宋_GBK" w:hAnsi="方正仿宋_GBK" w:eastAsia="方正仿宋_GBK" w:cs="方正仿宋_GBK"/>
          <w:color w:val="000000" w:themeColor="text1"/>
          <w:sz w:val="32"/>
          <w:szCs w:val="32"/>
          <w14:textFill>
            <w14:solidFill>
              <w14:schemeClr w14:val="tx1"/>
            </w14:solidFill>
          </w14:textFill>
        </w:rPr>
        <w:t>造成的粮食质量等损失均由乙方负全责</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p>
    <w:p w14:paraId="0755E65A">
      <w:pPr>
        <w:keepNext w:val="0"/>
        <w:keepLines w:val="0"/>
        <w:pageBreakBefore w:val="0"/>
        <w:tabs>
          <w:tab w:val="left" w:pos="690"/>
        </w:tabs>
        <w:kinsoku/>
        <w:wordWrap/>
        <w:overflowPunct/>
        <w:topLinePunct w:val="0"/>
        <w:autoSpaceDE/>
        <w:autoSpaceDN/>
        <w:bidi w:val="0"/>
        <w:spacing w:line="590" w:lineRule="exact"/>
        <w:ind w:firstLine="640" w:firstLineChars="200"/>
        <w:jc w:val="left"/>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6.</w:t>
      </w:r>
      <w:r>
        <w:rPr>
          <w:rFonts w:hint="eastAsia" w:ascii="方正仿宋_GBK" w:hAnsi="方正仿宋_GBK" w:eastAsia="方正仿宋_GBK" w:cs="方正仿宋_GBK"/>
          <w:color w:val="000000" w:themeColor="text1"/>
          <w:sz w:val="32"/>
          <w:szCs w:val="32"/>
          <w14:textFill>
            <w14:solidFill>
              <w14:schemeClr w14:val="tx1"/>
            </w14:solidFill>
          </w14:textFill>
        </w:rPr>
        <w:t>涉及储备粮业务的各项补贴与乙方无关。</w:t>
      </w:r>
    </w:p>
    <w:p w14:paraId="3A135EC2">
      <w:pPr>
        <w:keepNext w:val="0"/>
        <w:keepLines w:val="0"/>
        <w:pageBreakBefore w:val="0"/>
        <w:kinsoku/>
        <w:wordWrap/>
        <w:overflowPunct/>
        <w:topLinePunct w:val="0"/>
        <w:autoSpaceDE/>
        <w:autoSpaceDN/>
        <w:bidi w:val="0"/>
        <w:spacing w:line="590" w:lineRule="exact"/>
        <w:ind w:firstLine="640" w:firstLineChars="200"/>
        <w:jc w:val="left"/>
        <w:textAlignment w:val="auto"/>
        <w:rPr>
          <w:rFonts w:hint="eastAsia" w:ascii="方正黑体_GBK" w:hAnsi="方正黑体_GBK" w:eastAsia="方正黑体_GBK" w:cs="方正黑体_GBK"/>
          <w:color w:val="000000" w:themeColor="text1"/>
          <w:sz w:val="32"/>
          <w:szCs w:val="32"/>
          <w14:textFill>
            <w14:solidFill>
              <w14:schemeClr w14:val="tx1"/>
            </w14:solidFill>
          </w14:textFill>
        </w:rPr>
      </w:pPr>
      <w:r>
        <w:rPr>
          <w:rFonts w:hint="eastAsia" w:ascii="方正黑体_GBK" w:hAnsi="方正黑体_GBK" w:eastAsia="方正黑体_GBK" w:cs="方正黑体_GBK"/>
          <w:color w:val="000000" w:themeColor="text1"/>
          <w:sz w:val="32"/>
          <w:szCs w:val="32"/>
          <w14:textFill>
            <w14:solidFill>
              <w14:schemeClr w14:val="tx1"/>
            </w14:solidFill>
          </w14:textFill>
        </w:rPr>
        <w:t>六、违约责任</w:t>
      </w:r>
    </w:p>
    <w:p w14:paraId="61C9194B">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1.乙方不能按合同时间、数量和质量送达，影响甲方储备入库计划，按违约处理，乙方保证金归甲方所有，合同终止。</w:t>
      </w:r>
    </w:p>
    <w:p w14:paraId="159E22E4">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如乙方逾期未提清约定数量，则视作乙方违约，乙方需支付给甲方总货款20%的违约金，未提数量甲方不再销售给乙方，而由甲方另行销售，货款用于偿还甲方前期购粮款及因乙方违约造成的损失，不足部分甲方保留向乙方追讨补足价差的权利。</w:t>
      </w:r>
    </w:p>
    <w:p w14:paraId="2EF3404C">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b w:val="0"/>
          <w:bCs w:val="0"/>
          <w:color w:val="000000" w:themeColor="text1"/>
          <w:sz w:val="32"/>
          <w:szCs w:val="32"/>
          <w14:textFill>
            <w14:solidFill>
              <w14:schemeClr w14:val="tx1"/>
            </w14:solidFill>
          </w14:textFill>
        </w:rPr>
      </w:pPr>
      <w:r>
        <w:rPr>
          <w:rFonts w:hint="eastAsia" w:ascii="方正黑体_GBK" w:hAnsi="方正黑体_GBK" w:eastAsia="方正黑体_GBK" w:cs="方正黑体_GBK"/>
          <w:color w:val="000000" w:themeColor="text1"/>
          <w:sz w:val="32"/>
          <w:szCs w:val="32"/>
          <w14:textFill>
            <w14:solidFill>
              <w14:schemeClr w14:val="tx1"/>
            </w14:solidFill>
          </w14:textFill>
        </w:rPr>
        <w:t>七、</w:t>
      </w:r>
      <w:r>
        <w:rPr>
          <w:rFonts w:hint="eastAsia" w:ascii="方正仿宋_GBK" w:hAnsi="方正仿宋_GBK" w:eastAsia="方正仿宋_GBK" w:cs="方正仿宋_GBK"/>
          <w:b w:val="0"/>
          <w:bCs w:val="0"/>
          <w:color w:val="000000" w:themeColor="text1"/>
          <w:sz w:val="32"/>
          <w:szCs w:val="32"/>
          <w14:textFill>
            <w14:solidFill>
              <w14:schemeClr w14:val="tx1"/>
            </w14:solidFill>
          </w14:textFill>
        </w:rPr>
        <w:t>合同履约结束后，双方无任何经济纠纷，甲方应及时退还乙方尚未冲抵的风险保证金。</w:t>
      </w:r>
    </w:p>
    <w:p w14:paraId="26F8D435">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黑体_GBK" w:hAnsi="方正黑体_GBK" w:eastAsia="方正黑体_GBK" w:cs="方正黑体_GBK"/>
          <w:color w:val="000000" w:themeColor="text1"/>
          <w:sz w:val="32"/>
          <w:szCs w:val="32"/>
          <w14:textFill>
            <w14:solidFill>
              <w14:schemeClr w14:val="tx1"/>
            </w14:solidFill>
          </w14:textFill>
        </w:rPr>
        <w:t>八、</w:t>
      </w:r>
      <w:r>
        <w:rPr>
          <w:rFonts w:hint="eastAsia" w:ascii="方正仿宋_GBK" w:hAnsi="方正仿宋_GBK" w:eastAsia="方正仿宋_GBK" w:cs="方正仿宋_GBK"/>
          <w:color w:val="000000" w:themeColor="text1"/>
          <w:sz w:val="32"/>
          <w:szCs w:val="32"/>
          <w14:textFill>
            <w14:solidFill>
              <w14:schemeClr w14:val="tx1"/>
            </w14:solidFill>
          </w14:textFill>
        </w:rPr>
        <w:t>解决纠纷的方式：协商解决或按《民法典》通过法律程序解决。出现合同纠纷和未尽事宜，双方可协商，签订补充协议，补充协议与本协议具有同等法律效力，不能协商一致，可向原告所在地人民法院起诉。</w:t>
      </w:r>
    </w:p>
    <w:p w14:paraId="320F45D6">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i w:val="0"/>
          <w:color w:val="000000" w:themeColor="text1"/>
          <w:sz w:val="32"/>
          <w:szCs w:val="32"/>
          <w14:textFill>
            <w14:solidFill>
              <w14:schemeClr w14:val="tx1"/>
            </w14:solidFill>
          </w14:textFill>
        </w:rPr>
      </w:pPr>
      <w:r>
        <w:rPr>
          <w:rFonts w:hint="eastAsia" w:ascii="方正黑体_GBK" w:hAnsi="方正黑体_GBK" w:eastAsia="方正黑体_GBK" w:cs="方正黑体_GBK"/>
          <w:color w:val="000000" w:themeColor="text1"/>
          <w:sz w:val="32"/>
          <w:szCs w:val="32"/>
          <w14:textFill>
            <w14:solidFill>
              <w14:schemeClr w14:val="tx1"/>
            </w14:solidFill>
          </w14:textFill>
        </w:rPr>
        <w:t>九、</w:t>
      </w:r>
      <w:r>
        <w:rPr>
          <w:rFonts w:hint="eastAsia" w:ascii="方正仿宋_GBK" w:hAnsi="方正仿宋_GBK" w:eastAsia="方正仿宋_GBK" w:cs="方正仿宋_GBK"/>
          <w:color w:val="000000" w:themeColor="text1"/>
          <w:sz w:val="32"/>
          <w:szCs w:val="32"/>
          <w14:textFill>
            <w14:solidFill>
              <w14:schemeClr w14:val="tx1"/>
            </w14:solidFill>
          </w14:textFill>
        </w:rPr>
        <w:t>本合同一式叁份，本合同双方签字盖章后成立，乙方按第</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三</w:t>
      </w:r>
      <w:r>
        <w:rPr>
          <w:rFonts w:hint="eastAsia" w:ascii="方正仿宋_GBK" w:hAnsi="方正仿宋_GBK" w:eastAsia="方正仿宋_GBK" w:cs="方正仿宋_GBK"/>
          <w:color w:val="000000" w:themeColor="text1"/>
          <w:sz w:val="32"/>
          <w:szCs w:val="32"/>
          <w14:textFill>
            <w14:solidFill>
              <w14:schemeClr w14:val="tx1"/>
            </w14:solidFill>
          </w14:textFill>
        </w:rPr>
        <w:t>条约定将风险保证金付至甲方账户后生效，本合同有效期至出库结束止，本合同相关传真件视同原件，传真件与原件不符的，以原件为准。</w:t>
      </w:r>
    </w:p>
    <w:p w14:paraId="64388D16">
      <w:pPr>
        <w:keepNext w:val="0"/>
        <w:keepLines w:val="0"/>
        <w:pageBreakBefore w:val="0"/>
        <w:tabs>
          <w:tab w:val="left" w:pos="690"/>
        </w:tabs>
        <w:kinsoku/>
        <w:wordWrap/>
        <w:overflowPunct/>
        <w:topLinePunct w:val="0"/>
        <w:autoSpaceDE/>
        <w:autoSpaceDN/>
        <w:bidi w:val="0"/>
        <w:spacing w:line="590" w:lineRule="exact"/>
        <w:textAlignment w:val="auto"/>
        <w:rPr>
          <w:rFonts w:hint="eastAsia" w:ascii="方正仿宋_GBK" w:hAnsi="方正仿宋_GBK" w:eastAsia="方正仿宋_GBK" w:cs="方正仿宋_GBK"/>
          <w:i w:val="0"/>
          <w:color w:val="000000" w:themeColor="text1"/>
          <w:sz w:val="32"/>
          <w:szCs w:val="32"/>
          <w14:textFill>
            <w14:solidFill>
              <w14:schemeClr w14:val="tx1"/>
            </w14:solidFill>
          </w14:textFill>
        </w:rPr>
      </w:pPr>
    </w:p>
    <w:p w14:paraId="551C49E7">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i w:val="0"/>
          <w:color w:val="000000" w:themeColor="text1"/>
          <w:sz w:val="32"/>
          <w:szCs w:val="32"/>
          <w14:textFill>
            <w14:solidFill>
              <w14:schemeClr w14:val="tx1"/>
            </w14:solidFill>
          </w14:textFill>
        </w:rPr>
        <w:t>（以下无正文）</w:t>
      </w:r>
    </w:p>
    <w:p w14:paraId="776681F2">
      <w:pPr>
        <w:tabs>
          <w:tab w:val="left" w:pos="690"/>
        </w:tabs>
        <w:spacing w:line="64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p>
    <w:p w14:paraId="3296D5E2">
      <w:pPr>
        <w:tabs>
          <w:tab w:val="left" w:pos="690"/>
        </w:tabs>
        <w:spacing w:line="640" w:lineRule="exact"/>
        <w:ind w:firstLine="0" w:firstLineChars="0"/>
        <w:rPr>
          <w:rFonts w:hint="eastAsia" w:ascii="方正仿宋_GBK" w:hAnsi="方正仿宋_GBK" w:eastAsia="方正仿宋_GBK" w:cs="方正仿宋_GBK"/>
          <w:color w:val="000000" w:themeColor="text1"/>
          <w:sz w:val="32"/>
          <w:szCs w:val="32"/>
          <w14:textFill>
            <w14:solidFill>
              <w14:schemeClr w14:val="tx1"/>
            </w14:solidFill>
          </w14:textFill>
        </w:rPr>
      </w:pPr>
    </w:p>
    <w:p w14:paraId="55C13E82">
      <w:pPr>
        <w:spacing w:line="408" w:lineRule="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 xml:space="preserve">甲  方1：                  </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 xml:space="preserve">   </w:t>
      </w:r>
      <w:r>
        <w:rPr>
          <w:rFonts w:hint="eastAsia" w:ascii="方正仿宋_GBK" w:hAnsi="方正仿宋_GBK" w:eastAsia="方正仿宋_GBK" w:cs="方正仿宋_GBK"/>
          <w:color w:val="000000" w:themeColor="text1"/>
          <w:sz w:val="32"/>
          <w:szCs w:val="32"/>
          <w14:textFill>
            <w14:solidFill>
              <w14:schemeClr w14:val="tx1"/>
            </w14:solidFill>
          </w14:textFill>
        </w:rPr>
        <w:t>甲  方2：</w:t>
      </w:r>
    </w:p>
    <w:p w14:paraId="28EC978A">
      <w:pPr>
        <w:spacing w:line="408" w:lineRule="auto"/>
        <w:ind w:left="0" w:leftChars="0"/>
        <w:rPr>
          <w:rFonts w:hint="default" w:eastAsia="方正仿宋_GBK" w:cs="Times New Roman"/>
          <w:color w:val="000000" w:themeColor="text1"/>
          <w:w w:val="90"/>
          <w:sz w:val="28"/>
          <w:szCs w:val="28"/>
          <w:u w:val="none"/>
          <w:lang w:val="en-US" w:eastAsia="zh-CN"/>
          <w14:textFill>
            <w14:solidFill>
              <w14:schemeClr w14:val="tx1"/>
            </w14:solidFill>
          </w14:textFill>
        </w:rPr>
      </w:pPr>
      <w:r>
        <w:rPr>
          <w:rFonts w:hint="eastAsia" w:ascii="方正仿宋_GBK" w:hAnsi="方正仿宋_GBK" w:eastAsia="方正仿宋_GBK" w:cs="方正仿宋_GBK"/>
          <w:color w:val="000000" w:themeColor="text1"/>
          <w:w w:val="100"/>
          <w:sz w:val="32"/>
          <w:szCs w:val="32"/>
          <w:lang w:val="en-US" w:eastAsia="zh-CN"/>
          <w14:textFill>
            <w14:solidFill>
              <w14:schemeClr w14:val="tx1"/>
            </w14:solidFill>
          </w14:textFill>
        </w:rPr>
        <w:t>江苏省储备粮管理集团有限公司</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 xml:space="preserve">  </w:t>
      </w:r>
      <w:r>
        <w:rPr>
          <w:rFonts w:hint="eastAsia" w:ascii="仿宋" w:hAnsi="仿宋" w:eastAsia="仿宋" w:cs="仿宋"/>
          <w:w w:val="95"/>
          <w:sz w:val="32"/>
          <w:szCs w:val="32"/>
          <w:u w:val="none"/>
          <w:lang w:val="en-US" w:eastAsia="zh-CN"/>
        </w:rPr>
        <w:t>建湖县马厂第二粮库有限公司</w:t>
      </w:r>
    </w:p>
    <w:p w14:paraId="3585D47A">
      <w:pPr>
        <w:spacing w:line="408" w:lineRule="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 xml:space="preserve">法人代表（委托人）：        </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 xml:space="preserve">   </w:t>
      </w:r>
      <w:r>
        <w:rPr>
          <w:rFonts w:hint="eastAsia" w:ascii="方正仿宋_GBK" w:hAnsi="方正仿宋_GBK" w:eastAsia="方正仿宋_GBK" w:cs="方正仿宋_GBK"/>
          <w:color w:val="000000" w:themeColor="text1"/>
          <w:sz w:val="32"/>
          <w:szCs w:val="32"/>
          <w14:textFill>
            <w14:solidFill>
              <w14:schemeClr w14:val="tx1"/>
            </w14:solidFill>
          </w14:textFill>
        </w:rPr>
        <w:t>法人代表（委托人）：</w:t>
      </w:r>
    </w:p>
    <w:p w14:paraId="1B6BBCD9">
      <w:pPr>
        <w:spacing w:line="408" w:lineRule="auto"/>
        <w:ind w:firstLine="1920" w:firstLineChars="6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 xml:space="preserve">                       </w:t>
      </w:r>
    </w:p>
    <w:p w14:paraId="79C5696E">
      <w:pPr>
        <w:spacing w:line="408" w:lineRule="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 xml:space="preserve">日    期：                 </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 xml:space="preserve">   </w:t>
      </w:r>
      <w:r>
        <w:rPr>
          <w:rFonts w:hint="eastAsia" w:ascii="方正仿宋_GBK" w:hAnsi="方正仿宋_GBK" w:eastAsia="方正仿宋_GBK" w:cs="方正仿宋_GBK"/>
          <w:color w:val="000000" w:themeColor="text1"/>
          <w:sz w:val="32"/>
          <w:szCs w:val="32"/>
          <w14:textFill>
            <w14:solidFill>
              <w14:schemeClr w14:val="tx1"/>
            </w14:solidFill>
          </w14:textFill>
        </w:rPr>
        <w:t>日    期：</w:t>
      </w:r>
    </w:p>
    <w:p w14:paraId="424C4F68">
      <w:pPr>
        <w:spacing w:line="408" w:lineRule="auto"/>
        <w:rPr>
          <w:rFonts w:hint="eastAsia" w:ascii="方正仿宋_GBK" w:hAnsi="方正仿宋_GBK" w:eastAsia="方正仿宋_GBK" w:cs="方正仿宋_GBK"/>
          <w:color w:val="000000" w:themeColor="text1"/>
          <w:sz w:val="32"/>
          <w:szCs w:val="32"/>
          <w14:textFill>
            <w14:solidFill>
              <w14:schemeClr w14:val="tx1"/>
            </w14:solidFill>
          </w14:textFill>
        </w:rPr>
      </w:pPr>
    </w:p>
    <w:p w14:paraId="5E93DBE8">
      <w:pPr>
        <w:spacing w:line="408" w:lineRule="auto"/>
        <w:rPr>
          <w:rFonts w:hint="eastAsia" w:ascii="方正仿宋_GBK" w:hAnsi="方正仿宋_GBK" w:eastAsia="方正仿宋_GBK" w:cs="方正仿宋_GBK"/>
          <w:color w:val="000000" w:themeColor="text1"/>
          <w:sz w:val="32"/>
          <w:szCs w:val="32"/>
          <w14:textFill>
            <w14:solidFill>
              <w14:schemeClr w14:val="tx1"/>
            </w14:solidFill>
          </w14:textFill>
        </w:rPr>
      </w:pPr>
    </w:p>
    <w:p w14:paraId="63F0D9EB">
      <w:pPr>
        <w:spacing w:line="408" w:lineRule="auto"/>
        <w:rPr>
          <w:rFonts w:hint="eastAsia" w:ascii="方正仿宋_GBK" w:hAnsi="方正仿宋_GBK" w:eastAsia="方正仿宋_GBK" w:cs="方正仿宋_GBK"/>
          <w:sz w:val="32"/>
          <w:szCs w:val="32"/>
        </w:rPr>
      </w:pPr>
    </w:p>
    <w:p w14:paraId="02C6123B">
      <w:pPr>
        <w:spacing w:line="408" w:lineRule="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乙  方：</w:t>
      </w:r>
    </w:p>
    <w:p w14:paraId="6BB12488">
      <w:pPr>
        <w:rPr>
          <w:rFonts w:hint="eastAsia" w:ascii="方正仿宋_GBK" w:hAnsi="方正仿宋_GBK" w:eastAsia="方正仿宋_GBK" w:cs="方正仿宋_GBK"/>
          <w:sz w:val="32"/>
          <w:szCs w:val="32"/>
        </w:rPr>
      </w:pPr>
    </w:p>
    <w:p w14:paraId="65A7536C">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法人代表（委托人）：</w:t>
      </w:r>
    </w:p>
    <w:p w14:paraId="6509C8E2">
      <w:pPr>
        <w:rPr>
          <w:rFonts w:hint="eastAsia" w:ascii="方正仿宋_GBK" w:hAnsi="方正仿宋_GBK" w:eastAsia="方正仿宋_GBK" w:cs="方正仿宋_GBK"/>
          <w:sz w:val="32"/>
          <w:szCs w:val="32"/>
        </w:rPr>
      </w:pPr>
    </w:p>
    <w:p w14:paraId="65C8ED01">
      <w:pPr>
        <w:rPr>
          <w:rFonts w:hint="eastAsia" w:eastAsia="方正仿宋_GBK"/>
          <w:lang w:eastAsia="zh-CN"/>
        </w:rPr>
      </w:pPr>
      <w:r>
        <w:rPr>
          <w:rFonts w:hint="eastAsia" w:ascii="方正仿宋_GBK" w:hAnsi="方正仿宋_GBK" w:eastAsia="方正仿宋_GBK" w:cs="方正仿宋_GBK"/>
          <w:sz w:val="32"/>
          <w:szCs w:val="32"/>
        </w:rPr>
        <w:t>日    期</w:t>
      </w:r>
      <w:r>
        <w:rPr>
          <w:rFonts w:hint="eastAsia" w:ascii="方正仿宋_GBK" w:hAnsi="方正仿宋_GBK" w:eastAsia="方正仿宋_GBK" w:cs="方正仿宋_GBK"/>
          <w:sz w:val="32"/>
          <w:szCs w:val="32"/>
          <w:lang w:eastAsia="zh-CN"/>
        </w:rPr>
        <w:t>：</w:t>
      </w:r>
    </w:p>
    <w:p w14:paraId="551F11E2">
      <w:pPr>
        <w:rPr>
          <w:rFonts w:hint="eastAsia" w:eastAsia="方正仿宋_GBK"/>
          <w:lang w:eastAsia="zh-CN"/>
        </w:rPr>
      </w:pPr>
    </w:p>
    <w:sectPr>
      <w:headerReference r:id="rId3" w:type="default"/>
      <w:footerReference r:id="rId4" w:type="default"/>
      <w:pgSz w:w="11906" w:h="16838"/>
      <w:pgMar w:top="1984" w:right="1531" w:bottom="1701" w:left="1531"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6F7E89">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1386EAB">
                          <w:pPr>
                            <w:pStyle w:val="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1386EAB">
                    <w:pPr>
                      <w:pStyle w:val="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E6C762">
    <w:pPr>
      <w:pStyle w:val="3"/>
    </w:pPr>
    <w:r>
      <w:rPr>
        <w:sz w:val="18"/>
      </w:rPr>
      <w:pict>
        <v:shape id="PowerPlusWaterMarkObject14127" o:spid="_x0000_s4098" o:spt="136" type="#_x0000_t136" style="position:absolute;left:0pt;height:48.3pt;width:593.6pt;mso-position-horizontal:center;mso-position-horizontal-relative:margin;mso-position-vertical:center;mso-position-vertical-relative:margin;rotation:-2949120f;z-index:-251656192;mso-width-relative:page;mso-height-relative:page;" fillcolor="#C0C0C0" filled="t" stroked="f" coordsize="21600,21600" adj="10800">
          <v:path/>
          <v:fill on="t" opacity="48496f" focussize="0,0"/>
          <v:stroke on="f"/>
          <v:imagedata o:title=""/>
          <o:lock v:ext="edit" aspectratio="t"/>
          <v:textpath on="t" fitshape="t" fitpath="t" trim="t" xscale="f" string="江苏省储备粮管理集团有限公司" style="font-family:方正黑体_GBK;font-size:48pt;v-same-letter-heights:f;v-text-align:cente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1M2M2YTM0NTUyM2JhZmE0ODhkYWM1Y2YzOTJkZGUifQ=="/>
  </w:docVars>
  <w:rsids>
    <w:rsidRoot w:val="71AD454A"/>
    <w:rsid w:val="017B15BB"/>
    <w:rsid w:val="01DE54E7"/>
    <w:rsid w:val="0490144A"/>
    <w:rsid w:val="04D02DC9"/>
    <w:rsid w:val="067F72E2"/>
    <w:rsid w:val="06B8718B"/>
    <w:rsid w:val="0D374B59"/>
    <w:rsid w:val="0D717FD9"/>
    <w:rsid w:val="0EE627B3"/>
    <w:rsid w:val="10056FF4"/>
    <w:rsid w:val="14FD61B8"/>
    <w:rsid w:val="150834D9"/>
    <w:rsid w:val="162D6610"/>
    <w:rsid w:val="19230693"/>
    <w:rsid w:val="1B666609"/>
    <w:rsid w:val="1DF354F9"/>
    <w:rsid w:val="1F5A1610"/>
    <w:rsid w:val="21797DFE"/>
    <w:rsid w:val="226A2E83"/>
    <w:rsid w:val="237C295C"/>
    <w:rsid w:val="24AC5A60"/>
    <w:rsid w:val="25390F06"/>
    <w:rsid w:val="26347A30"/>
    <w:rsid w:val="266F4A43"/>
    <w:rsid w:val="287F5006"/>
    <w:rsid w:val="35037C10"/>
    <w:rsid w:val="372E4027"/>
    <w:rsid w:val="37557806"/>
    <w:rsid w:val="37FA03AE"/>
    <w:rsid w:val="3AAB444D"/>
    <w:rsid w:val="3BC74A4B"/>
    <w:rsid w:val="3CEC29BB"/>
    <w:rsid w:val="3E332998"/>
    <w:rsid w:val="41E47133"/>
    <w:rsid w:val="435272F0"/>
    <w:rsid w:val="446E63AB"/>
    <w:rsid w:val="47A65989"/>
    <w:rsid w:val="499A3100"/>
    <w:rsid w:val="4A35262C"/>
    <w:rsid w:val="4BF227C7"/>
    <w:rsid w:val="4DDB2DFD"/>
    <w:rsid w:val="4F7660B5"/>
    <w:rsid w:val="4F7D56F4"/>
    <w:rsid w:val="507B7A27"/>
    <w:rsid w:val="51E47CAD"/>
    <w:rsid w:val="52336645"/>
    <w:rsid w:val="527C7EE5"/>
    <w:rsid w:val="54CD1014"/>
    <w:rsid w:val="58861E86"/>
    <w:rsid w:val="598F49A2"/>
    <w:rsid w:val="5B022F52"/>
    <w:rsid w:val="5C5E240A"/>
    <w:rsid w:val="5CB04C96"/>
    <w:rsid w:val="5CF558BC"/>
    <w:rsid w:val="5F9E035D"/>
    <w:rsid w:val="602162F8"/>
    <w:rsid w:val="63A63622"/>
    <w:rsid w:val="646D0477"/>
    <w:rsid w:val="647F0E2E"/>
    <w:rsid w:val="6C6B706C"/>
    <w:rsid w:val="71AD454A"/>
    <w:rsid w:val="72DF173B"/>
    <w:rsid w:val="72E15E16"/>
    <w:rsid w:val="745B71A3"/>
    <w:rsid w:val="74E8455B"/>
    <w:rsid w:val="7C817D22"/>
    <w:rsid w:val="7D030039"/>
    <w:rsid w:val="7D605698"/>
    <w:rsid w:val="7D9C5C6B"/>
    <w:rsid w:val="7EF70CB6"/>
    <w:rsid w:val="7F076C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8"/>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3132</Words>
  <Characters>3331</Characters>
  <Lines>1</Lines>
  <Paragraphs>1</Paragraphs>
  <TotalTime>30</TotalTime>
  <ScaleCrop>false</ScaleCrop>
  <LinksUpToDate>false</LinksUpToDate>
  <CharactersWithSpaces>3477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2024-10-12T04:39:00Z</dcterms:created>
  <dc:creator>无双</dc:creator>
  <cp:lastModifiedBy>kkkitty</cp:lastModifiedBy>
  <dcterms:modified xsi:type="dcterms:W3CDTF">2025-09-30T07:29:54Z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9009FD2B456E4E44BB908C306870D65B_13</vt:lpwstr>
  </property>
  <property fmtid="{D5CDD505-2E9C-101B-9397-08002B2CF9AE}" pid="4" name="KSOTemplateDocerSaveRecord">
    <vt:lpwstr>eyJoZGlkIjoiMjE5OThhN2JlN2NhZDcxMTRiNDRkZmVhMGMwN2M5ZjciLCJ1c2VySWQiOiI5ODMwODkwNjcifQ==</vt:lpwstr>
  </property>
</Properties>
</file>