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90F1B">
      <w:pPr>
        <w:spacing w:line="590" w:lineRule="exact"/>
        <w:jc w:val="right"/>
        <w:rPr>
          <w:rFonts w:ascii="Times New Roman Regular" w:hAnsi="Times New Roman Regular" w:eastAsia="方正仿宋_GBK" w:cs="Times New Roman Regular"/>
          <w:sz w:val="32"/>
          <w:szCs w:val="32"/>
          <w:u w:val="single"/>
        </w:rPr>
      </w:pPr>
      <w:r>
        <w:rPr>
          <w:rFonts w:ascii="Times New Roman Regular" w:hAnsi="Times New Roman Regular" w:eastAsia="方正仿宋_GBK" w:cs="Times New Roman Regular"/>
          <w:sz w:val="32"/>
          <w:szCs w:val="32"/>
        </w:rPr>
        <w:t>合同号：SCBL</w:t>
      </w:r>
      <w:r>
        <w:rPr>
          <w:rFonts w:hint="eastAsia" w:ascii="Times New Roman Regular" w:hAnsi="Times New Roman Regular" w:eastAsia="方正仿宋_GBK" w:cs="Times New Roman Regular"/>
          <w:sz w:val="32"/>
          <w:szCs w:val="32"/>
        </w:rPr>
        <w:t>XM</w:t>
      </w:r>
      <w:r>
        <w:rPr>
          <w:rFonts w:ascii="Times New Roman Regular" w:hAnsi="Times New Roman Regular" w:eastAsia="方正仿宋_GBK" w:cs="Times New Roman Regular"/>
          <w:sz w:val="32"/>
          <w:szCs w:val="32"/>
        </w:rPr>
        <w:t>202</w:t>
      </w:r>
      <w:r>
        <w:rPr>
          <w:rFonts w:hint="eastAsia" w:ascii="Times New Roman Regular" w:hAnsi="Times New Roman Regular" w:eastAsia="方正仿宋_GBK" w:cs="Times New Roman Regular"/>
          <w:sz w:val="32"/>
          <w:szCs w:val="32"/>
        </w:rPr>
        <w:t>605</w:t>
      </w:r>
      <w:r>
        <w:rPr>
          <w:rFonts w:hint="eastAsia" w:ascii="Times New Roman Regular" w:hAnsi="Times New Roman Regular" w:eastAsia="方正仿宋_GBK" w:cs="Times New Roman Regular"/>
          <w:sz w:val="32"/>
          <w:szCs w:val="32"/>
          <w:lang w:val="en-US" w:eastAsia="zh-CN"/>
        </w:rPr>
        <w:t>28</w:t>
      </w:r>
      <w:r>
        <w:rPr>
          <w:rFonts w:ascii="Times New Roman Regular" w:hAnsi="Times New Roman Regular" w:cs="Times New Roman Regular"/>
          <w:u w:val="single"/>
        </w:rPr>
        <w:t>-</w:t>
      </w:r>
      <w:r>
        <w:rPr>
          <w:rFonts w:ascii="Times New Roman Regular" w:hAnsi="Times New Roman Regular" w:eastAsia="方正仿宋_GBK" w:cs="Times New Roman Regular"/>
          <w:sz w:val="32"/>
          <w:szCs w:val="32"/>
          <w:u w:val="single"/>
        </w:rPr>
        <w:t>0</w:t>
      </w:r>
      <w:r>
        <w:rPr>
          <w:rFonts w:hint="eastAsia" w:ascii="Times New Roman Regular" w:hAnsi="Times New Roman Regular" w:eastAsia="方正仿宋_GBK" w:cs="Times New Roman Regular"/>
          <w:sz w:val="32"/>
          <w:szCs w:val="32"/>
          <w:u w:val="single"/>
        </w:rPr>
        <w:t>*</w:t>
      </w:r>
    </w:p>
    <w:p w14:paraId="21AABA01">
      <w:pPr>
        <w:spacing w:line="590" w:lineRule="exact"/>
        <w:jc w:val="right"/>
        <w:rPr>
          <w:rFonts w:ascii="Times New Roman Regular" w:hAnsi="Times New Roman Regular" w:eastAsia="方正仿宋_GBK" w:cs="Times New Roman Regular"/>
          <w:sz w:val="32"/>
          <w:szCs w:val="32"/>
        </w:rPr>
      </w:pPr>
    </w:p>
    <w:p w14:paraId="053C1183">
      <w:pPr>
        <w:spacing w:line="590" w:lineRule="exact"/>
        <w:jc w:val="center"/>
        <w:rPr>
          <w:rFonts w:ascii="Times New Roman Regular" w:hAnsi="Times New Roman Regular" w:eastAsia="方正小标宋_GBK" w:cs="Times New Roman Regular"/>
          <w:b/>
          <w:bCs/>
          <w:sz w:val="44"/>
          <w:szCs w:val="44"/>
        </w:rPr>
      </w:pPr>
      <w:r>
        <w:rPr>
          <w:rFonts w:hint="eastAsia" w:ascii="Times New Roman Regular" w:hAnsi="Times New Roman Regular" w:eastAsia="方正小标宋_GBK" w:cs="Times New Roman Regular"/>
          <w:sz w:val="44"/>
          <w:szCs w:val="44"/>
          <w:u w:val="single"/>
        </w:rPr>
        <w:t>小麦</w:t>
      </w:r>
      <w:r>
        <w:rPr>
          <w:rFonts w:ascii="Times New Roman Regular" w:hAnsi="Times New Roman Regular" w:eastAsia="方正小标宋_GBK" w:cs="Times New Roman Regular"/>
          <w:sz w:val="44"/>
          <w:szCs w:val="44"/>
        </w:rPr>
        <w:t>购销合作合同</w:t>
      </w:r>
    </w:p>
    <w:p w14:paraId="1AE9D1E9">
      <w:pPr>
        <w:spacing w:line="590" w:lineRule="exact"/>
        <w:jc w:val="center"/>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sz w:val="32"/>
          <w:szCs w:val="32"/>
        </w:rPr>
        <w:t>（以采竞销）</w:t>
      </w:r>
    </w:p>
    <w:p w14:paraId="76B5424F">
      <w:pPr>
        <w:widowControl/>
        <w:spacing w:line="590" w:lineRule="exact"/>
        <w:jc w:val="left"/>
        <w:rPr>
          <w:rFonts w:ascii="Times New Roman Regular" w:hAnsi="Times New Roman Regular" w:eastAsia="方正仿宋_GBK" w:cs="Times New Roman Regular"/>
          <w:sz w:val="32"/>
          <w:szCs w:val="32"/>
          <w:u w:val="single"/>
        </w:rPr>
      </w:pPr>
      <w:r>
        <w:rPr>
          <w:rFonts w:ascii="Times New Roman Regular" w:hAnsi="Times New Roman Regular" w:eastAsia="方正仿宋_GBK" w:cs="Times New Roman Regular"/>
          <w:color w:val="000000"/>
          <w:kern w:val="0"/>
          <w:sz w:val="32"/>
          <w:szCs w:val="32"/>
          <w:lang w:bidi="ar"/>
        </w:rPr>
        <w:t>甲方 ：</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江苏省储备粮管理集团</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淮安</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直属库有限公司</w:t>
      </w:r>
    </w:p>
    <w:p w14:paraId="537F6CC6">
      <w:pPr>
        <w:widowControl/>
        <w:spacing w:line="590" w:lineRule="exact"/>
        <w:jc w:val="left"/>
        <w:rPr>
          <w:rFonts w:ascii="Times New Roman Regular" w:hAnsi="Times New Roman Regular" w:eastAsia="方正仿宋_GBK" w:cs="Times New Roman Regular"/>
          <w:color w:val="000000" w:themeColor="text1"/>
          <w:sz w:val="32"/>
          <w:szCs w:val="32"/>
          <w:u w:val="single"/>
          <w14:textFill>
            <w14:solidFill>
              <w14:schemeClr w14:val="tx1"/>
            </w14:solidFill>
          </w14:textFill>
        </w:rPr>
      </w:pPr>
      <w:r>
        <w:rPr>
          <w:rFonts w:ascii="Times New Roman Regular" w:hAnsi="Times New Roman Regular" w:eastAsia="方正仿宋_GBK" w:cs="Times New Roman Regular"/>
          <w:color w:val="000000"/>
          <w:kern w:val="0"/>
          <w:sz w:val="32"/>
          <w:szCs w:val="32"/>
          <w:lang w:bidi="ar"/>
        </w:rPr>
        <w:t>乙方 ：</w:t>
      </w:r>
      <w:r>
        <w:rPr>
          <w:rFonts w:ascii="Times New Roman Regular" w:hAnsi="Times New Roman Regular" w:eastAsia="方正仿宋_GBK" w:cs="Times New Roman Regular"/>
          <w:color w:val="000000"/>
          <w:kern w:val="0"/>
          <w:sz w:val="32"/>
          <w:szCs w:val="32"/>
          <w:u w:val="single"/>
          <w:lang w:bidi="ar"/>
        </w:rPr>
        <w:t xml:space="preserve"> </w:t>
      </w:r>
      <w:r>
        <w:rPr>
          <w:rFonts w:hint="eastAsia" w:ascii="Times New Roman Regular" w:hAnsi="Times New Roman Regular" w:eastAsia="方正仿宋_GBK" w:cs="Times New Roman Regular"/>
          <w:color w:val="000000"/>
          <w:kern w:val="0"/>
          <w:sz w:val="32"/>
          <w:szCs w:val="32"/>
          <w:u w:val="single"/>
          <w:lang w:bidi="ar"/>
        </w:rPr>
        <w:t xml:space="preserve">                                </w:t>
      </w:r>
    </w:p>
    <w:p w14:paraId="24B0A1B1">
      <w:pPr>
        <w:spacing w:line="590" w:lineRule="exact"/>
        <w:ind w:firstLine="480" w:firstLineChars="15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为充分发挥各自优势，合理配置粮源，依据江苏粮油商品交易市场（以下简称江苏市场）</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5</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28</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日</w:t>
      </w:r>
      <w:r>
        <w:rPr>
          <w:rFonts w:ascii="Times New Roman Regular" w:hAnsi="Times New Roman Regular" w:eastAsia="方正仿宋_GBK" w:cs="Times New Roman Regular"/>
          <w:color w:val="000000" w:themeColor="text1"/>
          <w:sz w:val="32"/>
          <w:szCs w:val="32"/>
          <w14:textFill>
            <w14:solidFill>
              <w14:schemeClr w14:val="tx1"/>
            </w14:solidFill>
          </w14:textFill>
        </w:rPr>
        <w:t>竞价结果，就甲方采购乙方202</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6</w:t>
      </w:r>
      <w:r>
        <w:rPr>
          <w:rFonts w:ascii="Times New Roman Regular" w:hAnsi="Times New Roman Regular" w:eastAsia="方正仿宋_GBK" w:cs="Times New Roman Regular"/>
          <w:color w:val="000000" w:themeColor="text1"/>
          <w:sz w:val="32"/>
          <w:szCs w:val="32"/>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产</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小麦</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吨</w:t>
      </w:r>
      <w:r>
        <w:rPr>
          <w:rFonts w:ascii="Times New Roman Regular" w:hAnsi="Times New Roman Regular" w:eastAsia="方正仿宋_GBK" w:cs="Times New Roman Regular"/>
          <w:color w:val="000000" w:themeColor="text1"/>
          <w:sz w:val="32"/>
          <w:szCs w:val="32"/>
          <w:u w:color="FFFFFF"/>
          <w14:textFill>
            <w14:solidFill>
              <w14:schemeClr w14:val="tx1"/>
            </w14:solidFill>
          </w14:textFill>
        </w:rPr>
        <w:t>，同</w:t>
      </w:r>
      <w:r>
        <w:rPr>
          <w:rFonts w:ascii="Times New Roman Regular" w:hAnsi="Times New Roman Regular" w:eastAsia="方正仿宋_GBK" w:cs="Times New Roman Regular"/>
          <w:color w:val="000000" w:themeColor="text1"/>
          <w:sz w:val="32"/>
          <w:szCs w:val="32"/>
          <w14:textFill>
            <w14:solidFill>
              <w14:schemeClr w14:val="tx1"/>
            </w14:solidFill>
          </w14:textFill>
        </w:rPr>
        <w:t>时由乙方根据甲方的出库时间要求负责全部回购，达成以下协议：</w:t>
      </w:r>
    </w:p>
    <w:p w14:paraId="441E3675">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甲方采购</w:t>
      </w:r>
      <w:r>
        <w:rPr>
          <w:rFonts w:hint="eastAsia" w:ascii="Times New Roman Regular" w:hAnsi="Times New Roman Regular" w:eastAsia="方正黑体_GBK" w:cs="Times New Roman Regular"/>
          <w:color w:val="000000"/>
          <w:kern w:val="0"/>
          <w:sz w:val="32"/>
          <w:szCs w:val="32"/>
          <w:lang w:bidi="ar"/>
        </w:rPr>
        <w:t>事项</w:t>
      </w:r>
    </w:p>
    <w:p w14:paraId="61404809">
      <w:pPr>
        <w:spacing w:line="590" w:lineRule="exact"/>
        <w:ind w:firstLine="640" w:firstLineChars="200"/>
        <w:jc w:val="left"/>
        <w:rPr>
          <w:rFonts w:ascii="Times New Roman Regular" w:hAnsi="Times New Roman Regular" w:eastAsia="方正仿宋_GBK" w:cs="Times New Roman Regular"/>
          <w:color w:val="000000" w:themeColor="text1"/>
          <w:sz w:val="32"/>
          <w:szCs w:val="32"/>
          <w:lang w:bidi="ar"/>
          <w14:textFill>
            <w14:solidFill>
              <w14:schemeClr w14:val="tx1"/>
            </w14:solidFill>
          </w14:textFill>
        </w:rPr>
      </w:pPr>
      <w:r>
        <w:rPr>
          <w:rFonts w:ascii="Times New Roman Regular" w:hAnsi="Times New Roman Regular" w:eastAsia="方正仿宋_GBK" w:cs="Times New Roman Regular"/>
          <w:color w:val="000000" w:themeColor="text1"/>
          <w:sz w:val="32"/>
          <w:szCs w:val="32"/>
          <w:lang w:bidi="ar"/>
          <w14:textFill>
            <w14:solidFill>
              <w14:schemeClr w14:val="tx1"/>
            </w14:solidFill>
          </w14:textFill>
        </w:rPr>
        <w:t>甲方采购乙方</w:t>
      </w:r>
      <w:r>
        <w:rPr>
          <w:rFonts w:ascii="Times New Roman Regular" w:hAnsi="Times New Roman Regular" w:eastAsia="方正仿宋_GBK" w:cs="Times New Roman Regular"/>
          <w:color w:val="000000" w:themeColor="text1"/>
          <w:sz w:val="32"/>
          <w:szCs w:val="32"/>
          <w:u w:val="single"/>
          <w:lang w:bidi="ar"/>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lang w:bidi="ar"/>
          <w14:textFill>
            <w14:solidFill>
              <w14:schemeClr w14:val="tx1"/>
            </w14:solidFill>
          </w14:textFill>
        </w:rPr>
        <w:t>6</w:t>
      </w:r>
      <w:r>
        <w:rPr>
          <w:rFonts w:ascii="Times New Roman Regular" w:hAnsi="Times New Roman Regular" w:eastAsia="方正仿宋_GBK" w:cs="Times New Roman Regular"/>
          <w:color w:val="000000" w:themeColor="text1"/>
          <w:sz w:val="32"/>
          <w:szCs w:val="32"/>
          <w:lang w:bidi="ar"/>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lang w:val="en-US" w:eastAsia="zh-CN" w:bidi="ar"/>
          <w14:textFill>
            <w14:solidFill>
              <w14:schemeClr w14:val="tx1"/>
            </w14:solidFill>
          </w14:textFill>
        </w:rPr>
        <w:t>产</w:t>
      </w:r>
      <w:r>
        <w:rPr>
          <w:rFonts w:hint="eastAsia" w:ascii="Times New Roman Regular" w:hAnsi="Times New Roman Regular" w:eastAsia="方正仿宋_GBK" w:cs="Times New Roman Regular"/>
          <w:color w:val="000000" w:themeColor="text1"/>
          <w:sz w:val="32"/>
          <w:szCs w:val="32"/>
          <w:lang w:bidi="ar"/>
          <w14:textFill>
            <w14:solidFill>
              <w14:schemeClr w14:val="tx1"/>
            </w14:solidFill>
          </w14:textFill>
        </w:rPr>
        <w:t>小麦</w:t>
      </w:r>
      <w:r>
        <w:rPr>
          <w:rFonts w:hint="eastAsia" w:ascii="Times New Roman Regular" w:hAnsi="Times New Roman Regular" w:eastAsia="方正仿宋_GBK" w:cs="Times New Roman Regular"/>
          <w:color w:val="000000" w:themeColor="text1"/>
          <w:sz w:val="32"/>
          <w:szCs w:val="32"/>
          <w:u w:val="single"/>
          <w:lang w:val="en-US" w:eastAsia="zh-CN" w:bidi="ar"/>
          <w14:textFill>
            <w14:solidFill>
              <w14:schemeClr w14:val="tx1"/>
            </w14:solidFill>
          </w14:textFill>
        </w:rPr>
        <w:t>**</w:t>
      </w:r>
      <w:r>
        <w:rPr>
          <w:rFonts w:ascii="Times New Roman Regular" w:hAnsi="Times New Roman Regular" w:eastAsia="方正仿宋_GBK" w:cs="Times New Roman Regular"/>
          <w:color w:val="000000" w:themeColor="text1"/>
          <w:sz w:val="32"/>
          <w:szCs w:val="32"/>
          <w:lang w:bidi="ar"/>
          <w14:textFill>
            <w14:solidFill>
              <w14:schemeClr w14:val="tx1"/>
            </w14:solidFill>
          </w14:textFill>
        </w:rPr>
        <w:t>吨：</w:t>
      </w:r>
    </w:p>
    <w:p w14:paraId="65F37330">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1.入库时间：在</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0</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7</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20</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日</w:t>
      </w:r>
      <w:r>
        <w:rPr>
          <w:rFonts w:ascii="Times New Roman Regular" w:hAnsi="Times New Roman Regular" w:eastAsia="方正仿宋_GBK" w:cs="Times New Roman Regular"/>
          <w:color w:val="000000" w:themeColor="text1"/>
          <w:sz w:val="32"/>
          <w:szCs w:val="32"/>
          <w14:textFill>
            <w14:solidFill>
              <w14:schemeClr w14:val="tx1"/>
            </w14:solidFill>
          </w14:textFill>
        </w:rPr>
        <w:t>前完成入库粮食累计</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吨。具体仓号、数量以粮食入库后双方书面确认单为准。</w:t>
      </w:r>
    </w:p>
    <w:p w14:paraId="0006D113">
      <w:pPr>
        <w:tabs>
          <w:tab w:val="left" w:pos="1305"/>
        </w:tabs>
        <w:adjustRightInd w:val="0"/>
        <w:snapToGrid w:val="0"/>
        <w:spacing w:line="590" w:lineRule="exact"/>
        <w:ind w:right="630" w:rightChars="300" w:firstLine="640" w:firstLineChars="200"/>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2.交货地点：</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江苏省储备粮管理集团</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淮安</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直属库有限</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公</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司</w:t>
      </w:r>
      <w:r>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t>。</w:t>
      </w:r>
    </w:p>
    <w:p w14:paraId="2286BD5E">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25</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00</w:t>
      </w:r>
      <w:r>
        <w:rPr>
          <w:rFonts w:ascii="Times New Roman Regular" w:hAnsi="Times New Roman Regular" w:eastAsia="方正仿宋_GBK" w:cs="Times New Roman Regular"/>
          <w:color w:val="000000" w:themeColor="text1"/>
          <w:sz w:val="32"/>
          <w:szCs w:val="32"/>
          <w14:textFill>
            <w14:solidFill>
              <w14:schemeClr w14:val="tx1"/>
            </w14:solidFill>
          </w14:textFill>
        </w:rPr>
        <w:t>元/吨（甲方散装自卸车板价）。为保证储备粮按时轮入和市场价接轨，允许入库价格根据市场价格进行调整，以甲方和乙方双</w:t>
      </w:r>
      <w:bookmarkStart w:id="0" w:name="_GoBack"/>
      <w:bookmarkEnd w:id="0"/>
      <w:r>
        <w:rPr>
          <w:rFonts w:ascii="Times New Roman Regular" w:hAnsi="Times New Roman Regular" w:eastAsia="方正仿宋_GBK" w:cs="Times New Roman Regular"/>
          <w:color w:val="000000" w:themeColor="text1"/>
          <w:sz w:val="32"/>
          <w:szCs w:val="32"/>
          <w14:textFill>
            <w14:solidFill>
              <w14:schemeClr w14:val="tx1"/>
            </w14:solidFill>
          </w14:textFill>
        </w:rPr>
        <w:t>方价格确认书为准，最终入库价格以单仓为单位，以单仓入库平均价格确定为入库价格。</w:t>
      </w:r>
    </w:p>
    <w:p w14:paraId="65505BD3">
      <w:pPr>
        <w:spacing w:line="590" w:lineRule="exact"/>
        <w:ind w:firstLine="640" w:firstLineChars="200"/>
        <w:rPr>
          <w:rFonts w:eastAsia="方正仿宋_GBK"/>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4.入库方式：由乙方组织供货</w:t>
      </w:r>
      <w:r>
        <w:rPr>
          <w:rFonts w:eastAsia="方正仿宋_GBK"/>
          <w:color w:val="000000" w:themeColor="text1"/>
          <w:sz w:val="32"/>
          <w:szCs w:val="32"/>
          <w14:textFill>
            <w14:solidFill>
              <w14:schemeClr w14:val="tx1"/>
            </w14:solidFill>
          </w14:textFill>
        </w:rPr>
        <w:t>；</w:t>
      </w:r>
    </w:p>
    <w:p w14:paraId="78A0482F">
      <w:pPr>
        <w:spacing w:line="590" w:lineRule="exact"/>
        <w:ind w:right="60"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5.入库质量要求：2026年度</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国产</w:t>
      </w:r>
      <w:r>
        <w:rPr>
          <w:rFonts w:ascii="Times New Roman Regular" w:hAnsi="Times New Roman Regular" w:eastAsia="方正仿宋_GBK" w:cs="Times New Roman Regular"/>
          <w:color w:val="000000" w:themeColor="text1"/>
          <w:sz w:val="32"/>
          <w:szCs w:val="32"/>
          <w14:textFill>
            <w14:solidFill>
              <w14:schemeClr w14:val="tx1"/>
            </w14:solidFill>
          </w14:textFill>
        </w:rPr>
        <w:t>小麦，符合国标三等及以上标准，要求水分≤12.5%，每超0.5%，扣量0.65%；高不足0.5%的，不计增扣量；水分&gt;13%有权拒收；不完善粒≤等级限量；要求杂质≤1%，若杂质1%＜杂质≤2%，过筛回杂(过筛入库，筛下物由卖方带回，整理费用</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2元/吨</w:t>
      </w:r>
      <w:r>
        <w:rPr>
          <w:rFonts w:ascii="Times New Roman Regular" w:hAnsi="Times New Roman Regular" w:eastAsia="方正仿宋_GBK" w:cs="Times New Roman Regular"/>
          <w:color w:val="000000" w:themeColor="text1"/>
          <w:sz w:val="32"/>
          <w:szCs w:val="32"/>
          <w14:textFill>
            <w14:solidFill>
              <w14:schemeClr w14:val="tx1"/>
            </w14:solidFill>
          </w14:textFill>
        </w:rPr>
        <w:t>)，杂质＞2%拒收;色泽气味正常，脱氧雪腐镰刀菌烯醇≤1000ug/kg、玉米赤霉烯酮≤60 ug/kg，其他食品安全指标符合食品安全国家规定标准。超过规定标准的委托方有权拒收。</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乙</w:t>
      </w:r>
      <w:r>
        <w:rPr>
          <w:rFonts w:ascii="Times New Roman Regular" w:hAnsi="Times New Roman Regular" w:eastAsia="方正仿宋_GBK" w:cs="Times New Roman Regular"/>
          <w:color w:val="000000" w:themeColor="text1"/>
          <w:sz w:val="32"/>
          <w:szCs w:val="32"/>
          <w14:textFill>
            <w14:solidFill>
              <w14:schemeClr w14:val="tx1"/>
            </w14:solidFill>
          </w14:textFill>
        </w:rPr>
        <w:t>方供货的粮食不得为陈粮或其他储备轮换粮。</w:t>
      </w:r>
    </w:p>
    <w:p w14:paraId="4C1C1950">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6.验收办法：</w:t>
      </w:r>
    </w:p>
    <w:p w14:paraId="2BF3D42D">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粮食</w:t>
      </w:r>
      <w:r>
        <w:rPr>
          <w:rFonts w:ascii="Times New Roman Regular" w:hAnsi="Times New Roman Regular" w:eastAsia="方正仿宋_GBK" w:cs="Times New Roman Regular"/>
          <w:color w:val="000000" w:themeColor="text1"/>
          <w:sz w:val="32"/>
          <w:szCs w:val="32"/>
          <w14:textFill>
            <w14:solidFill>
              <w14:schemeClr w14:val="tx1"/>
            </w14:solidFill>
          </w14:textFill>
        </w:rPr>
        <w:t>检验机构检验，检验费用由异议提出方先行支付，异议成立的，最终由被异议方承担。</w:t>
      </w:r>
    </w:p>
    <w:p w14:paraId="05133FB6">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（2）数量确认：以交货库点地磅称重为准，乙方应当派人监磅，并对数量进行确认。</w:t>
      </w:r>
      <w:r>
        <w:rPr>
          <w:rFonts w:ascii="Times New Roman Regular" w:hAnsi="Times New Roman Regular" w:eastAsia="方正仿宋_GBK" w:cs="Times New Roman Regular"/>
          <w:sz w:val="32"/>
          <w:szCs w:val="32"/>
        </w:rPr>
        <w:t>乙方如未派人监磅视为认可过磅数量。</w:t>
      </w:r>
    </w:p>
    <w:p w14:paraId="56C00C41">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（3）乙方如有数量、质量异议应在入库卸货前提出，逾期未提异议的视为交付合格。</w:t>
      </w:r>
    </w:p>
    <w:p w14:paraId="458E4759">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（4）粮食入库后，甲乙双方须对入库粮食的存储仓号、数量、质量、价格等进行书面确认。</w:t>
      </w:r>
    </w:p>
    <w:p w14:paraId="50B2E3B7">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乙方回购事项</w:t>
      </w:r>
    </w:p>
    <w:p w14:paraId="6501BF90">
      <w:pPr>
        <w:spacing w:line="590" w:lineRule="exact"/>
        <w:ind w:firstLine="56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8</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3</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5</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吨。</w:t>
      </w:r>
      <w:r>
        <w:rPr>
          <w:rFonts w:ascii="Times New Roman Regular" w:hAnsi="Times New Roman Regular" w:eastAsia="方正仿宋_GBK" w:cs="Times New Roman Regular"/>
          <w:color w:val="000000" w:themeColor="text1"/>
          <w:sz w:val="32"/>
          <w:szCs w:val="32"/>
          <w14:textFill>
            <w14:solidFill>
              <w14:schemeClr w14:val="tx1"/>
            </w14:solidFill>
          </w14:textFill>
        </w:rPr>
        <w:t>（甲方按照省级储备粮月末库存不低于总量70%开展轮换。</w:t>
      </w:r>
      <w:r>
        <w:rPr>
          <w:rFonts w:ascii="Times New Roman Regular" w:hAnsi="Times New Roman Regular" w:eastAsia="方正仿宋_GBK" w:cs="Times New Roman Regular"/>
          <w:color w:val="000000"/>
          <w:sz w:val="32"/>
          <w:szCs w:val="32"/>
          <w:lang w:bidi="ar"/>
        </w:rPr>
        <w:t>销售段的提货</w:t>
      </w:r>
      <w:r>
        <w:rPr>
          <w:rFonts w:hint="eastAsia" w:ascii="Times New Roman Regular" w:hAnsi="Times New Roman Regular" w:eastAsia="方正仿宋_GBK" w:cs="Times New Roman Regular"/>
          <w:color w:val="000000"/>
          <w:sz w:val="32"/>
          <w:szCs w:val="32"/>
          <w:lang w:bidi="ar"/>
        </w:rPr>
        <w:t>须</w:t>
      </w:r>
      <w:r>
        <w:rPr>
          <w:rFonts w:ascii="Times New Roman Regular" w:hAnsi="Times New Roman Regular" w:eastAsia="方正仿宋_GBK" w:cs="Times New Roman Regular"/>
          <w:color w:val="000000"/>
          <w:sz w:val="32"/>
          <w:szCs w:val="32"/>
          <w:lang w:bidi="ar"/>
        </w:rPr>
        <w:t>在获得储备粮轮出批复后才生效</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0F0C07EF">
      <w:pPr>
        <w:spacing w:line="590" w:lineRule="exact"/>
        <w:ind w:firstLine="56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25</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00</w:t>
      </w:r>
      <w:r>
        <w:rPr>
          <w:rFonts w:ascii="Times New Roman Regular" w:hAnsi="Times New Roman Regular" w:eastAsia="方正仿宋_GBK" w:cs="Times New Roman Regular"/>
          <w:color w:val="000000" w:themeColor="text1"/>
          <w:sz w:val="32"/>
          <w:szCs w:val="32"/>
          <w14:textFill>
            <w14:solidFill>
              <w14:schemeClr w14:val="tx1"/>
            </w14:solidFill>
          </w14:textFill>
        </w:rPr>
        <w:t>元/吨基础上的回购价格及价差，即</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仓库车板价</w:t>
      </w:r>
      <w:r>
        <w:rPr>
          <w:rFonts w:ascii="Times New Roman Regular" w:hAnsi="Times New Roman Regular" w:eastAsia="方正仿宋_GBK" w:cs="Times New Roman Regular"/>
          <w:color w:val="000000" w:themeColor="text1"/>
          <w:sz w:val="32"/>
          <w:szCs w:val="32"/>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甲乙</w:t>
      </w:r>
      <w:r>
        <w:rPr>
          <w:rFonts w:ascii="Times New Roman Regular" w:hAnsi="Times New Roman Regular" w:eastAsia="方正仿宋_GBK" w:cs="Times New Roman Regular"/>
          <w:color w:val="000000" w:themeColor="text1"/>
          <w:sz w:val="32"/>
          <w:szCs w:val="32"/>
          <w14:textFill>
            <w14:solidFill>
              <w14:schemeClr w14:val="tx1"/>
            </w14:solidFill>
          </w14:textFill>
        </w:rPr>
        <w:t>双方签订补充协议，超出部分的货款在线下完成收付）</w:t>
      </w:r>
    </w:p>
    <w:p w14:paraId="7EC3F58A">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3.回购粮食数量以入库数量为准，以单个仓房为单位，双方按照保管账面数结算，合理损耗部分由乙方承担。</w:t>
      </w:r>
    </w:p>
    <w:p w14:paraId="7C36EBB4">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4.回购粮食质量以在库粮食质量为准，甲方提供符合相关规定的检验报告。</w:t>
      </w:r>
    </w:p>
    <w:p w14:paraId="5B4D6FA5">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合同定金及保证金的支付与退还</w:t>
      </w:r>
    </w:p>
    <w:p w14:paraId="6BA87072">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先向甲方交纳合同定金100元/吨，定金交付后，交易系统内的购、销双向交易合同正式生效，该项定金适用于双倍罚则。</w:t>
      </w:r>
    </w:p>
    <w:p w14:paraId="160003B7">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保证金不能覆盖因价格波动导致的市场价差，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乙方保证金归甲方所有，合同终止。</w:t>
      </w:r>
    </w:p>
    <w:p w14:paraId="04A416DB">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甲乙</w:t>
      </w:r>
      <w:r>
        <w:rPr>
          <w:rFonts w:ascii="Times New Roman Regular" w:hAnsi="Times New Roman Regular" w:eastAsia="方正仿宋_GBK" w:cs="Times New Roman Regular"/>
          <w:color w:val="000000" w:themeColor="text1"/>
          <w:sz w:val="32"/>
          <w:szCs w:val="32"/>
          <w14:textFill>
            <w14:solidFill>
              <w14:schemeClr w14:val="tx1"/>
            </w14:solidFill>
          </w14:textFill>
        </w:rPr>
        <w:t>双方自主交割，甲方在规定的合同入库期限（</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7</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20</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日前</w:t>
      </w:r>
      <w:r>
        <w:rPr>
          <w:rFonts w:ascii="Times New Roman Regular" w:hAnsi="Times New Roman Regular" w:eastAsia="方正仿宋_GBK" w:cs="Times New Roman Regular"/>
          <w:color w:val="000000" w:themeColor="text1"/>
          <w:sz w:val="32"/>
          <w:szCs w:val="32"/>
          <w14:textFill>
            <w14:solidFill>
              <w14:schemeClr w14:val="tx1"/>
            </w14:solidFill>
          </w14:textFill>
        </w:rPr>
        <w:t>）内按到货进度付款，采购合同交割期截止日以清单为准，采购合同完成率原则上达到100%，最终数量以甲方与乙方签订的数量质量价格确认单为准，乙方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提供相应增值税发票后方可确认交易完成。双方交收完毕后江苏市场凭双方签订的采购确认单等有效文件清退定金。</w:t>
      </w:r>
    </w:p>
    <w:p w14:paraId="62BD72C7">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后，江苏市场退还乙方扣除手续费部分的保证金（与中标结果数量、价格差异部分由甲方与乙方按实结算）。</w:t>
      </w:r>
    </w:p>
    <w:p w14:paraId="2A475330">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5.</w:t>
      </w:r>
      <w:r>
        <w:rPr>
          <w:rFonts w:ascii="Times New Roman Regular" w:hAnsi="Times New Roman Regular" w:eastAsia="方正仿宋_GBK" w:cs="Times New Roman Regular"/>
          <w:color w:val="000000" w:themeColor="text1"/>
          <w:sz w:val="32"/>
          <w:szCs w:val="32"/>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在</w:t>
      </w:r>
      <w:r>
        <w:rPr>
          <w:rFonts w:ascii="Times New Roman Regular" w:hAnsi="Times New Roman Regular" w:eastAsia="方正仿宋_GBK" w:cs="Times New Roman Regular"/>
          <w:color w:val="000000" w:themeColor="text1"/>
          <w:sz w:val="32"/>
          <w:szCs w:val="32"/>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的前提下</w:t>
      </w:r>
      <w:r>
        <w:rPr>
          <w:rFonts w:ascii="Times New Roman Regular" w:hAnsi="Times New Roman Regular" w:eastAsia="方正仿宋_GBK" w:cs="Times New Roman Regular"/>
          <w:color w:val="000000" w:themeColor="text1"/>
          <w:sz w:val="32"/>
          <w:szCs w:val="32"/>
          <w14:textFill>
            <w14:solidFill>
              <w14:schemeClr w14:val="tx1"/>
            </w14:solidFill>
          </w14:textFill>
        </w:rPr>
        <w:t>，甲方应及时退还乙方尚未冲抵的风险保证金。</w:t>
      </w:r>
    </w:p>
    <w:p w14:paraId="42A7F25E">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费用结算和发票开具</w:t>
      </w:r>
    </w:p>
    <w:p w14:paraId="449B6966">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1.入库结算：甲方按照到货进度付款，乙方向甲方开具相应的增值税发票。</w:t>
      </w:r>
    </w:p>
    <w:p w14:paraId="7736AE5D">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2.销售结算：乙方根据甲方通知，先款后货，凭出库通知单提货，甲方向乙方开具相应的增值税发票。</w:t>
      </w:r>
    </w:p>
    <w:p w14:paraId="16D64859">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3.进出库费用：乙方承担进库时仓库散装车板前费用（包括但不限于</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过筛费、整理费</w:t>
      </w:r>
      <w:r>
        <w:rPr>
          <w:rFonts w:ascii="Times New Roman Regular" w:hAnsi="Times New Roman Regular" w:eastAsia="方正仿宋_GBK" w:cs="Times New Roman Regular"/>
          <w:color w:val="000000" w:themeColor="text1"/>
          <w:sz w:val="32"/>
          <w:szCs w:val="32"/>
          <w14:textFill>
            <w14:solidFill>
              <w14:schemeClr w14:val="tx1"/>
            </w14:solidFill>
          </w14:textFill>
        </w:rPr>
        <w:t>等）、出库时仓库散装车板后费用。</w:t>
      </w:r>
    </w:p>
    <w:p w14:paraId="66884517">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hint="eastAsia" w:ascii="Times New Roman Regular" w:hAnsi="Times New Roman Regular" w:eastAsia="方正黑体_GBK" w:cs="Times New Roman Regular"/>
          <w:color w:val="000000"/>
          <w:kern w:val="0"/>
          <w:sz w:val="32"/>
          <w:szCs w:val="32"/>
          <w:lang w:bidi="ar"/>
        </w:rPr>
        <w:t>注意事项</w:t>
      </w:r>
    </w:p>
    <w:p w14:paraId="4B30B490">
      <w:pPr>
        <w:tabs>
          <w:tab w:val="left" w:pos="1305"/>
        </w:tabs>
        <w:adjustRightInd w:val="0"/>
        <w:snapToGrid w:val="0"/>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3D90E64F">
      <w:pPr>
        <w:tabs>
          <w:tab w:val="left" w:pos="1305"/>
        </w:tabs>
        <w:adjustRightInd w:val="0"/>
        <w:snapToGrid w:val="0"/>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与甲方签订本合同，原则上7个工作日不签订本合同，认定为乙方竞价中标后违约。 </w:t>
      </w:r>
    </w:p>
    <w:p w14:paraId="732E0624">
      <w:pPr>
        <w:spacing w:line="590" w:lineRule="exac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b/>
          <w:bCs/>
          <w:color w:val="000000" w:themeColor="text1"/>
          <w:sz w:val="32"/>
          <w:szCs w:val="32"/>
          <w14:textFill>
            <w14:solidFill>
              <w14:schemeClr w14:val="tx1"/>
            </w14:solidFill>
          </w14:textFill>
        </w:rPr>
        <w:t xml:space="preserve">    </w:t>
      </w:r>
      <w:r>
        <w:rPr>
          <w:rFonts w:ascii="Times New Roman Regular" w:hAnsi="Times New Roman Regular" w:eastAsia="方正仿宋_GBK" w:cs="Times New Roman Regular"/>
          <w:color w:val="000000" w:themeColor="text1"/>
          <w:sz w:val="32"/>
          <w:szCs w:val="32"/>
          <w14:textFill>
            <w14:solidFill>
              <w14:schemeClr w14:val="tx1"/>
            </w14:solidFill>
          </w14:textFill>
        </w:rPr>
        <w:t>3.如遇政策调控，甲乙双方应无条件服从政府调控需要，互不承担违约责任。甲方按上级制定的调拨价格扣除相关税费后全额与乙方进行结算。</w:t>
      </w:r>
    </w:p>
    <w:p w14:paraId="5F0BB3A3">
      <w:pPr>
        <w:spacing w:line="590" w:lineRule="exac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77486A0F">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0914FC16">
      <w:pPr>
        <w:tabs>
          <w:tab w:val="left" w:pos="690"/>
        </w:tabs>
        <w:spacing w:line="590" w:lineRule="exact"/>
        <w:ind w:firstLine="640" w:firstLineChars="20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6.涉及储备粮业务的各项补贴与乙方无关。</w:t>
      </w:r>
    </w:p>
    <w:p w14:paraId="59568EDC">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违约责任</w:t>
      </w:r>
    </w:p>
    <w:p w14:paraId="2C8EDA6D">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协商一致的除外。</w:t>
      </w:r>
    </w:p>
    <w:p w14:paraId="4DF63D65">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74405FD4">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hint="eastAsia" w:ascii="Times New Roman Regular" w:hAnsi="Times New Roman Regular" w:eastAsia="方正黑体_GBK" w:cs="Times New Roman Regular"/>
          <w:color w:val="000000"/>
          <w:kern w:val="0"/>
          <w:sz w:val="32"/>
          <w:szCs w:val="32"/>
          <w:lang w:bidi="ar"/>
        </w:rPr>
        <w:t>纠纷</w:t>
      </w:r>
      <w:r>
        <w:rPr>
          <w:rFonts w:ascii="Times New Roman Regular" w:hAnsi="Times New Roman Regular" w:eastAsia="方正黑体_GBK" w:cs="Times New Roman Regular"/>
          <w:color w:val="000000"/>
          <w:kern w:val="0"/>
          <w:sz w:val="32"/>
          <w:szCs w:val="32"/>
          <w:lang w:bidi="ar"/>
        </w:rPr>
        <w:t>解决方式</w:t>
      </w:r>
    </w:p>
    <w:p w14:paraId="12C4222A">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20871F49">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hint="eastAsia" w:ascii="Times New Roman Regular" w:hAnsi="Times New Roman Regular" w:eastAsia="方正黑体_GBK" w:cs="Times New Roman Regular"/>
          <w:color w:val="000000"/>
          <w:kern w:val="0"/>
          <w:sz w:val="32"/>
          <w:szCs w:val="32"/>
          <w:lang w:bidi="ar"/>
        </w:rPr>
        <w:t>其他</w:t>
      </w:r>
    </w:p>
    <w:p w14:paraId="69F6345A">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本合同一式两份，有效期至出库结束止。本合同相关传真件视同原件，传真件与原件不符的，以原件为准。</w:t>
      </w:r>
    </w:p>
    <w:p w14:paraId="17B940CE">
      <w:pPr>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br w:type="page"/>
      </w:r>
    </w:p>
    <w:p w14:paraId="0095EBEE">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（此页无正文）</w:t>
      </w:r>
    </w:p>
    <w:p w14:paraId="1016D695">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66D49783">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63C89ED6">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7008F92D">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65A5E0ED">
      <w:pPr>
        <w:spacing w:line="590" w:lineRule="exact"/>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color w:val="000000" w:themeColor="text1"/>
          <w:sz w:val="32"/>
          <w:szCs w:val="32"/>
          <w14:textFill>
            <w14:solidFill>
              <w14:schemeClr w14:val="tx1"/>
            </w14:solidFill>
          </w14:textFill>
        </w:rPr>
        <w:t>甲  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 xml:space="preserve">  </w:t>
      </w:r>
      <w:r>
        <w:rPr>
          <w:rFonts w:ascii="Times New Roman Regular" w:hAnsi="Times New Roman Regular" w:eastAsia="方正仿宋_GBK" w:cs="Times New Roman Regular"/>
          <w:w w:val="85"/>
          <w:sz w:val="32"/>
          <w:szCs w:val="32"/>
        </w:rPr>
        <w:t xml:space="preserve">               </w:t>
      </w:r>
      <w:r>
        <w:rPr>
          <w:rFonts w:hint="eastAsia" w:ascii="Times New Roman Regular" w:hAnsi="Times New Roman Regular" w:eastAsia="方正仿宋_GBK" w:cs="Times New Roman Regular"/>
          <w:w w:val="85"/>
          <w:sz w:val="32"/>
          <w:szCs w:val="32"/>
        </w:rPr>
        <w:t xml:space="preserve">          </w:t>
      </w:r>
      <w:r>
        <w:rPr>
          <w:rFonts w:hint="eastAsia" w:ascii="Times New Roman Regular" w:hAnsi="Times New Roman Regular" w:eastAsia="方正仿宋_GBK" w:cs="Times New Roman Regular"/>
          <w:w w:val="85"/>
          <w:sz w:val="32"/>
          <w:szCs w:val="32"/>
          <w:lang w:val="en-US" w:eastAsia="zh-CN"/>
        </w:rPr>
        <w:t xml:space="preserve">   </w:t>
      </w:r>
      <w:r>
        <w:rPr>
          <w:rFonts w:ascii="Times New Roman Regular" w:hAnsi="Times New Roman Regular" w:eastAsia="方正仿宋_GBK" w:cs="Times New Roman Regular"/>
          <w:sz w:val="32"/>
          <w:szCs w:val="32"/>
        </w:rPr>
        <w:t>乙  方：</w:t>
      </w:r>
    </w:p>
    <w:p w14:paraId="4E486673">
      <w:pPr>
        <w:spacing w:line="590" w:lineRule="exact"/>
        <w:rPr>
          <w:rFonts w:ascii="Times New Roman Regular" w:hAnsi="Times New Roman Regular" w:eastAsia="方正仿宋_GBK" w:cs="Times New Roman Regular"/>
          <w:color w:val="000000" w:themeColor="text1"/>
          <w:w w:val="80"/>
          <w:sz w:val="32"/>
          <w:szCs w:val="32"/>
          <w14:textFill>
            <w14:solidFill>
              <w14:schemeClr w14:val="tx1"/>
            </w14:solidFill>
          </w14:textFill>
        </w:rPr>
      </w:pPr>
      <w:r>
        <w:rPr>
          <w:rFonts w:ascii="Times New Roman Regular" w:hAnsi="Times New Roman Regular" w:eastAsia="方正仿宋_GBK" w:cs="Times New Roman Regular"/>
          <w:color w:val="000000" w:themeColor="text1"/>
          <w:w w:val="80"/>
          <w:sz w:val="32"/>
          <w:szCs w:val="32"/>
          <w14:textFill>
            <w14:solidFill>
              <w14:schemeClr w14:val="tx1"/>
            </w14:solidFill>
          </w14:textFill>
        </w:rPr>
        <w:t>江苏省储备粮管理集团</w:t>
      </w:r>
      <w:r>
        <w:rPr>
          <w:rFonts w:hint="eastAsia" w:ascii="Times New Roman Regular" w:hAnsi="Times New Roman Regular" w:eastAsia="方正仿宋_GBK" w:cs="Times New Roman Regular"/>
          <w:color w:val="000000" w:themeColor="text1"/>
          <w:w w:val="80"/>
          <w:sz w:val="32"/>
          <w:szCs w:val="32"/>
          <w:lang w:val="en-US" w:eastAsia="zh-CN"/>
          <w14:textFill>
            <w14:solidFill>
              <w14:schemeClr w14:val="tx1"/>
            </w14:solidFill>
          </w14:textFill>
        </w:rPr>
        <w:t>淮安</w:t>
      </w:r>
      <w:r>
        <w:rPr>
          <w:rFonts w:ascii="Times New Roman Regular" w:hAnsi="Times New Roman Regular" w:eastAsia="方正仿宋_GBK" w:cs="Times New Roman Regular"/>
          <w:color w:val="000000" w:themeColor="text1"/>
          <w:w w:val="80"/>
          <w:sz w:val="32"/>
          <w:szCs w:val="32"/>
          <w14:textFill>
            <w14:solidFill>
              <w14:schemeClr w14:val="tx1"/>
            </w14:solidFill>
          </w14:textFill>
        </w:rPr>
        <w:t>直属库有限公司</w:t>
      </w:r>
    </w:p>
    <w:p w14:paraId="1C554B46">
      <w:pPr>
        <w:spacing w:line="590" w:lineRule="exact"/>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 xml:space="preserve">   </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 xml:space="preserve">   </w:t>
      </w:r>
      <w:r>
        <w:rPr>
          <w:rFonts w:ascii="Times New Roman Regular" w:hAnsi="Times New Roman Regular" w:eastAsia="方正仿宋_GBK" w:cs="Times New Roman Regular"/>
          <w:sz w:val="32"/>
          <w:szCs w:val="32"/>
        </w:rPr>
        <w:t>法人代表（委托人）：</w:t>
      </w:r>
    </w:p>
    <w:p w14:paraId="7173BA30">
      <w:pPr>
        <w:spacing w:line="590" w:lineRule="exact"/>
        <w:rPr>
          <w:rFonts w:ascii="Times New Roman Regular" w:hAnsi="Times New Roman Regular" w:eastAsia="方正仿宋_GBK" w:cs="Times New Roman Regular"/>
          <w:sz w:val="32"/>
          <w:szCs w:val="32"/>
        </w:rPr>
      </w:pPr>
    </w:p>
    <w:p w14:paraId="23625630">
      <w:pPr>
        <w:spacing w:line="590" w:lineRule="exact"/>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 xml:space="preserve">  </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 xml:space="preserve">   </w:t>
      </w: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0000000000000000000"/>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53D19">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40BA49">
                          <w:pPr>
                            <w:pStyle w:val="4"/>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940BA49">
                    <w:pPr>
                      <w:pStyle w:val="4"/>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312CF">
    <w:pPr>
      <w:pStyle w:val="5"/>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wMDJkY2UzMDI1ZGM5MzE3OTY1YjRiMTkyNGExMmQifQ=="/>
  </w:docVars>
  <w:rsids>
    <w:rsidRoot w:val="71AD454A"/>
    <w:rsid w:val="000B7DA5"/>
    <w:rsid w:val="0016066C"/>
    <w:rsid w:val="003023EB"/>
    <w:rsid w:val="0076768E"/>
    <w:rsid w:val="007F0A56"/>
    <w:rsid w:val="007F2F24"/>
    <w:rsid w:val="00921546"/>
    <w:rsid w:val="00DB6652"/>
    <w:rsid w:val="00E372E2"/>
    <w:rsid w:val="01DE54E7"/>
    <w:rsid w:val="022C0730"/>
    <w:rsid w:val="04D02DC9"/>
    <w:rsid w:val="05940AC6"/>
    <w:rsid w:val="06D55403"/>
    <w:rsid w:val="088E2ED3"/>
    <w:rsid w:val="09382988"/>
    <w:rsid w:val="0D374B59"/>
    <w:rsid w:val="0E576558"/>
    <w:rsid w:val="0EE627B3"/>
    <w:rsid w:val="10056FF4"/>
    <w:rsid w:val="11A86FE1"/>
    <w:rsid w:val="11DA3D05"/>
    <w:rsid w:val="14C704DC"/>
    <w:rsid w:val="14FD61B8"/>
    <w:rsid w:val="150834D9"/>
    <w:rsid w:val="151C1A86"/>
    <w:rsid w:val="162D6610"/>
    <w:rsid w:val="190F182C"/>
    <w:rsid w:val="19230693"/>
    <w:rsid w:val="1A5A4A24"/>
    <w:rsid w:val="1B5B594E"/>
    <w:rsid w:val="1DF354F9"/>
    <w:rsid w:val="21797DFE"/>
    <w:rsid w:val="233E1774"/>
    <w:rsid w:val="24AC5A60"/>
    <w:rsid w:val="25390F06"/>
    <w:rsid w:val="25E24C21"/>
    <w:rsid w:val="266F4A43"/>
    <w:rsid w:val="287F5006"/>
    <w:rsid w:val="288B5901"/>
    <w:rsid w:val="2C795659"/>
    <w:rsid w:val="2EBA8253"/>
    <w:rsid w:val="2F396F9D"/>
    <w:rsid w:val="35037C10"/>
    <w:rsid w:val="361004AC"/>
    <w:rsid w:val="371804A8"/>
    <w:rsid w:val="377B3A91"/>
    <w:rsid w:val="3A946897"/>
    <w:rsid w:val="3AAB444D"/>
    <w:rsid w:val="3D740BEB"/>
    <w:rsid w:val="3E332998"/>
    <w:rsid w:val="3FBF6165"/>
    <w:rsid w:val="3FFFCC23"/>
    <w:rsid w:val="41E47133"/>
    <w:rsid w:val="42114C71"/>
    <w:rsid w:val="43D97563"/>
    <w:rsid w:val="446E63AB"/>
    <w:rsid w:val="447856EE"/>
    <w:rsid w:val="44A0218D"/>
    <w:rsid w:val="460C4643"/>
    <w:rsid w:val="479C4FDD"/>
    <w:rsid w:val="499A3100"/>
    <w:rsid w:val="4A35262C"/>
    <w:rsid w:val="4AEB42B2"/>
    <w:rsid w:val="4B1732F9"/>
    <w:rsid w:val="4BF227C7"/>
    <w:rsid w:val="4C3A6B73"/>
    <w:rsid w:val="4DDB2DFD"/>
    <w:rsid w:val="4F7660B5"/>
    <w:rsid w:val="507B7A27"/>
    <w:rsid w:val="508C57E9"/>
    <w:rsid w:val="52336645"/>
    <w:rsid w:val="54CD1014"/>
    <w:rsid w:val="54D47A42"/>
    <w:rsid w:val="56851A91"/>
    <w:rsid w:val="581F258D"/>
    <w:rsid w:val="58861E86"/>
    <w:rsid w:val="589D0BB5"/>
    <w:rsid w:val="59B419C2"/>
    <w:rsid w:val="5CF558BC"/>
    <w:rsid w:val="5FDC558E"/>
    <w:rsid w:val="61F54031"/>
    <w:rsid w:val="630B7EDC"/>
    <w:rsid w:val="63A63622"/>
    <w:rsid w:val="63BA086D"/>
    <w:rsid w:val="646D0477"/>
    <w:rsid w:val="682409AB"/>
    <w:rsid w:val="6C6B706C"/>
    <w:rsid w:val="6DCE5DFA"/>
    <w:rsid w:val="6FAB7D47"/>
    <w:rsid w:val="6FCF1B7B"/>
    <w:rsid w:val="71AD454A"/>
    <w:rsid w:val="72DF173B"/>
    <w:rsid w:val="72E15E16"/>
    <w:rsid w:val="745B71A3"/>
    <w:rsid w:val="74E8455B"/>
    <w:rsid w:val="76AA3924"/>
    <w:rsid w:val="77364257"/>
    <w:rsid w:val="779E6A61"/>
    <w:rsid w:val="77C632D1"/>
    <w:rsid w:val="7806151C"/>
    <w:rsid w:val="78AD0549"/>
    <w:rsid w:val="78B040D3"/>
    <w:rsid w:val="7CAE3F22"/>
    <w:rsid w:val="7CC64730"/>
    <w:rsid w:val="7D030039"/>
    <w:rsid w:val="7D605698"/>
    <w:rsid w:val="7D9C5C6B"/>
    <w:rsid w:val="7DEF5718"/>
    <w:rsid w:val="7DFDEB0F"/>
    <w:rsid w:val="7E325778"/>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8">
    <w:name w:val="修订1"/>
    <w:hidden/>
    <w:unhideWhenUsed/>
    <w:qFormat/>
    <w:uiPriority w:val="99"/>
    <w:rPr>
      <w:rFonts w:ascii="Times New Roman" w:hAnsi="Times New Roman" w:eastAsia="宋体" w:cs="Times New Roman"/>
      <w:kern w:val="2"/>
      <w:sz w:val="21"/>
      <w:szCs w:val="24"/>
      <w:lang w:val="en-US" w:eastAsia="zh-CN" w:bidi="ar-SA"/>
    </w:rPr>
  </w:style>
  <w:style w:type="character" w:customStyle="1" w:styleId="9">
    <w:name w:val="批注框文本 Char"/>
    <w:basedOn w:val="7"/>
    <w:link w:val="3"/>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2844</Words>
  <Characters>2980</Characters>
  <Lines>23</Lines>
  <Paragraphs>6</Paragraphs>
  <TotalTime>3</TotalTime>
  <ScaleCrop>false</ScaleCrop>
  <LinksUpToDate>false</LinksUpToDate>
  <CharactersWithSpaces>3118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2026-04-28T01:51:00Z</dcterms:created>
  <dc:creator>无双</dc:creator>
  <cp:lastModifiedBy>kkkitty</cp:lastModifiedBy>
  <dcterms:modified xsi:type="dcterms:W3CDTF">2026-05-25T06:21:02Z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2B78331E57DC485597F207EA4A2EF0EF_13</vt:lpwstr>
  </property>
  <property fmtid="{D5CDD505-2E9C-101B-9397-08002B2CF9AE}" pid="4" name="KSOTemplateDocerSaveRecord">
    <vt:lpwstr>eyJoZGlkIjoiMjE5OThhN2JlN2NhZDcxMTRiNDRkZmVhMGMwN2M5ZjciLCJ1c2VySWQiOiI5ODMwODkwNjcifQ==</vt:lpwstr>
  </property>
</Properties>
</file>