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6D5978">
      <w:pPr>
        <w:spacing w:before="178" w:line="229" w:lineRule="auto"/>
        <w:jc w:val="center"/>
        <w:outlineLvl w:val="0"/>
        <w:rPr>
          <w:rFonts w:hint="eastAsia" w:ascii="仿宋" w:hAnsi="仿宋" w:eastAsia="仿宋" w:cs="仿宋"/>
          <w:b/>
          <w:bCs/>
          <w:spacing w:val="-4"/>
          <w:sz w:val="36"/>
          <w:szCs w:val="36"/>
        </w:rPr>
      </w:pPr>
      <w:r>
        <w:rPr>
          <w:rFonts w:hint="eastAsia" w:ascii="仿宋" w:hAnsi="仿宋" w:eastAsia="仿宋" w:cs="仿宋"/>
          <w:b/>
          <w:bCs/>
          <w:spacing w:val="-4"/>
          <w:sz w:val="36"/>
          <w:szCs w:val="36"/>
        </w:rPr>
        <w:t>采</w:t>
      </w:r>
      <w:r>
        <w:rPr>
          <w:rFonts w:hint="eastAsia" w:ascii="仿宋" w:hAnsi="仿宋" w:eastAsia="仿宋" w:cs="仿宋"/>
          <w:b/>
          <w:bCs/>
          <w:spacing w:val="27"/>
          <w:sz w:val="36"/>
          <w:szCs w:val="36"/>
        </w:rPr>
        <w:t xml:space="preserve"> </w:t>
      </w:r>
      <w:r>
        <w:rPr>
          <w:rFonts w:hint="eastAsia" w:ascii="仿宋" w:hAnsi="仿宋" w:eastAsia="仿宋" w:cs="仿宋"/>
          <w:b/>
          <w:bCs/>
          <w:spacing w:val="-4"/>
          <w:sz w:val="36"/>
          <w:szCs w:val="36"/>
        </w:rPr>
        <w:t>购</w:t>
      </w:r>
      <w:r>
        <w:rPr>
          <w:rFonts w:hint="eastAsia" w:ascii="仿宋" w:hAnsi="仿宋" w:eastAsia="仿宋" w:cs="仿宋"/>
          <w:b/>
          <w:bCs/>
          <w:spacing w:val="38"/>
          <w:sz w:val="36"/>
          <w:szCs w:val="36"/>
        </w:rPr>
        <w:t xml:space="preserve"> </w:t>
      </w:r>
      <w:r>
        <w:rPr>
          <w:rFonts w:hint="eastAsia" w:ascii="仿宋" w:hAnsi="仿宋" w:eastAsia="仿宋" w:cs="仿宋"/>
          <w:b/>
          <w:bCs/>
          <w:spacing w:val="-4"/>
          <w:sz w:val="36"/>
          <w:szCs w:val="36"/>
        </w:rPr>
        <w:t>合</w:t>
      </w:r>
      <w:r>
        <w:rPr>
          <w:rFonts w:hint="eastAsia" w:ascii="仿宋" w:hAnsi="仿宋" w:eastAsia="仿宋" w:cs="仿宋"/>
          <w:b/>
          <w:bCs/>
          <w:spacing w:val="64"/>
          <w:sz w:val="36"/>
          <w:szCs w:val="36"/>
        </w:rPr>
        <w:t xml:space="preserve"> </w:t>
      </w:r>
      <w:r>
        <w:rPr>
          <w:rFonts w:hint="eastAsia" w:ascii="仿宋" w:hAnsi="仿宋" w:eastAsia="仿宋" w:cs="仿宋"/>
          <w:b/>
          <w:bCs/>
          <w:spacing w:val="-4"/>
          <w:sz w:val="36"/>
          <w:szCs w:val="36"/>
        </w:rPr>
        <w:t>同</w:t>
      </w:r>
    </w:p>
    <w:p w14:paraId="4BA6131D">
      <w:pPr>
        <w:wordWrap w:val="0"/>
        <w:spacing w:before="178" w:line="229" w:lineRule="auto"/>
        <w:jc w:val="right"/>
        <w:outlineLvl w:val="0"/>
        <w:rPr>
          <w:rFonts w:hint="default" w:ascii="仿宋" w:hAnsi="仿宋" w:eastAsia="仿宋" w:cs="仿宋"/>
          <w:b/>
          <w:bCs/>
          <w:spacing w:val="-4"/>
          <w:sz w:val="22"/>
          <w:szCs w:val="22"/>
          <w:lang w:val="en-US" w:eastAsia="zh-CN"/>
        </w:rPr>
      </w:pPr>
      <w:r>
        <w:rPr>
          <w:rFonts w:hint="eastAsia" w:ascii="仿宋" w:hAnsi="仿宋" w:eastAsia="仿宋" w:cs="仿宋"/>
          <w:b/>
          <w:bCs/>
          <w:spacing w:val="-4"/>
          <w:sz w:val="22"/>
          <w:szCs w:val="22"/>
          <w:lang w:val="en-US" w:eastAsia="zh-CN"/>
        </w:rPr>
        <w:t xml:space="preserve">合同编号;              </w:t>
      </w:r>
    </w:p>
    <w:p w14:paraId="05F00431">
      <w:pPr>
        <w:spacing w:before="178" w:line="229" w:lineRule="auto"/>
        <w:jc w:val="right"/>
        <w:outlineLvl w:val="0"/>
        <w:rPr>
          <w:rFonts w:hint="default" w:ascii="仿宋" w:hAnsi="仿宋" w:eastAsia="仿宋" w:cs="仿宋"/>
          <w:b/>
          <w:bCs/>
          <w:spacing w:val="-4"/>
          <w:sz w:val="22"/>
          <w:szCs w:val="22"/>
          <w:lang w:val="en-US" w:eastAsia="zh-CN"/>
        </w:rPr>
      </w:pPr>
      <w:r>
        <w:rPr>
          <w:rFonts w:hint="eastAsia" w:ascii="仿宋" w:hAnsi="仿宋" w:eastAsia="仿宋" w:cs="仿宋"/>
          <w:b/>
          <w:bCs/>
          <w:spacing w:val="-4"/>
          <w:sz w:val="22"/>
          <w:szCs w:val="22"/>
          <w:lang w:val="en-US" w:eastAsia="zh-CN"/>
        </w:rPr>
        <w:t>签订地址：辽宁省大连市</w:t>
      </w:r>
    </w:p>
    <w:p w14:paraId="4C410DB1">
      <w:pPr>
        <w:pStyle w:val="2"/>
        <w:spacing w:before="120" w:line="222" w:lineRule="auto"/>
        <w:rPr>
          <w:rFonts w:hint="eastAsia" w:ascii="仿宋" w:hAnsi="仿宋" w:eastAsia="仿宋" w:cs="仿宋"/>
          <w:b w:val="0"/>
          <w:bCs w:val="0"/>
        </w:rPr>
      </w:pPr>
      <w:r>
        <w:rPr>
          <w:rFonts w:hint="eastAsia" w:ascii="仿宋" w:hAnsi="仿宋" w:eastAsia="仿宋" w:cs="仿宋"/>
          <w:b w:val="0"/>
          <w:bCs w:val="0"/>
          <w:spacing w:val="-7"/>
        </w:rPr>
        <w:t>买方：</w:t>
      </w:r>
    </w:p>
    <w:p w14:paraId="00D22EF0">
      <w:pPr>
        <w:rPr>
          <w:rFonts w:hint="eastAsia" w:ascii="仿宋" w:hAnsi="仿宋" w:eastAsia="仿宋" w:cs="仿宋"/>
          <w:b w:val="0"/>
          <w:bCs w:val="0"/>
          <w:spacing w:val="-7"/>
        </w:rPr>
      </w:pPr>
      <w:r>
        <w:rPr>
          <w:rFonts w:hint="eastAsia" w:ascii="仿宋" w:hAnsi="仿宋" w:eastAsia="仿宋" w:cs="仿宋"/>
          <w:b w:val="0"/>
          <w:bCs w:val="0"/>
          <w:spacing w:val="-7"/>
        </w:rPr>
        <w:t>卖方：</w:t>
      </w:r>
    </w:p>
    <w:p w14:paraId="3C476470">
      <w:pPr>
        <w:pStyle w:val="2"/>
        <w:spacing w:before="119" w:line="219" w:lineRule="auto"/>
        <w:rPr>
          <w:rFonts w:hint="eastAsia" w:ascii="仿宋" w:hAnsi="仿宋" w:eastAsia="仿宋" w:cs="仿宋"/>
          <w:b w:val="0"/>
          <w:bCs w:val="0"/>
        </w:rPr>
      </w:pPr>
      <w:r>
        <w:rPr>
          <w:rFonts w:hint="eastAsia" w:ascii="仿宋" w:hAnsi="仿宋" w:eastAsia="仿宋" w:cs="仿宋"/>
          <w:b w:val="0"/>
          <w:bCs w:val="0"/>
          <w:spacing w:val="-3"/>
        </w:rPr>
        <w:t>买卖双方在平等互利，协商一致的基础上签</w:t>
      </w:r>
      <w:r>
        <w:rPr>
          <w:rFonts w:hint="eastAsia" w:ascii="仿宋" w:hAnsi="仿宋" w:eastAsia="仿宋" w:cs="仿宋"/>
          <w:b w:val="0"/>
          <w:bCs w:val="0"/>
          <w:spacing w:val="-4"/>
        </w:rPr>
        <w:t>订本合同，以兹双方共同遵守：</w:t>
      </w:r>
    </w:p>
    <w:p w14:paraId="3576CD6D">
      <w:pPr>
        <w:pStyle w:val="2"/>
        <w:spacing w:before="27" w:line="207" w:lineRule="auto"/>
        <w:outlineLvl w:val="1"/>
        <w:rPr>
          <w:rFonts w:hint="eastAsia" w:ascii="仿宋" w:hAnsi="仿宋" w:eastAsia="仿宋" w:cs="仿宋"/>
          <w:b w:val="0"/>
          <w:bCs w:val="0"/>
        </w:rPr>
      </w:pPr>
      <w:r>
        <w:rPr>
          <w:rFonts w:hint="eastAsia" w:ascii="仿宋" w:hAnsi="仿宋" w:eastAsia="仿宋" w:cs="仿宋"/>
          <w:b w:val="0"/>
          <w:bCs w:val="0"/>
          <w:spacing w:val="-7"/>
        </w:rPr>
        <w:t>第一条 货物品名、数量、单价及金额</w:t>
      </w:r>
    </w:p>
    <w:tbl>
      <w:tblPr>
        <w:tblStyle w:val="5"/>
        <w:tblW w:w="918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53"/>
        <w:gridCol w:w="1157"/>
        <w:gridCol w:w="1757"/>
        <w:gridCol w:w="2422"/>
        <w:gridCol w:w="2600"/>
      </w:tblGrid>
      <w:tr w14:paraId="097BA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1" w:hRule="atLeast"/>
        </w:trPr>
        <w:tc>
          <w:tcPr>
            <w:tcW w:w="1253" w:type="dxa"/>
            <w:vAlign w:val="top"/>
          </w:tcPr>
          <w:p w14:paraId="1B7C81FE">
            <w:pPr>
              <w:spacing w:line="281" w:lineRule="auto"/>
              <w:rPr>
                <w:rFonts w:hint="eastAsia" w:ascii="仿宋" w:hAnsi="仿宋" w:eastAsia="仿宋" w:cs="仿宋"/>
                <w:b w:val="0"/>
                <w:bCs w:val="0"/>
                <w:sz w:val="21"/>
              </w:rPr>
            </w:pPr>
          </w:p>
          <w:p w14:paraId="33EC3CAE">
            <w:pPr>
              <w:pStyle w:val="6"/>
              <w:spacing w:before="78" w:line="221" w:lineRule="auto"/>
              <w:ind w:left="149"/>
              <w:rPr>
                <w:rFonts w:hint="eastAsia" w:ascii="仿宋" w:hAnsi="仿宋" w:eastAsia="仿宋" w:cs="仿宋"/>
                <w:b w:val="0"/>
                <w:bCs w:val="0"/>
              </w:rPr>
            </w:pPr>
            <w:r>
              <w:rPr>
                <w:rFonts w:hint="eastAsia" w:ascii="仿宋" w:hAnsi="仿宋" w:eastAsia="仿宋" w:cs="仿宋"/>
                <w:b w:val="0"/>
                <w:bCs w:val="0"/>
                <w:spacing w:val="-11"/>
              </w:rPr>
              <w:t>货物名称</w:t>
            </w:r>
          </w:p>
        </w:tc>
        <w:tc>
          <w:tcPr>
            <w:tcW w:w="1157" w:type="dxa"/>
            <w:vAlign w:val="top"/>
          </w:tcPr>
          <w:p w14:paraId="1E66EC14">
            <w:pPr>
              <w:spacing w:line="286" w:lineRule="auto"/>
              <w:rPr>
                <w:rFonts w:hint="eastAsia" w:ascii="仿宋" w:hAnsi="仿宋" w:eastAsia="仿宋" w:cs="仿宋"/>
                <w:b w:val="0"/>
                <w:bCs w:val="0"/>
                <w:sz w:val="21"/>
              </w:rPr>
            </w:pPr>
          </w:p>
          <w:p w14:paraId="4715F0D4">
            <w:pPr>
              <w:pStyle w:val="6"/>
              <w:spacing w:before="78" w:line="225" w:lineRule="auto"/>
              <w:ind w:left="391"/>
              <w:rPr>
                <w:rFonts w:hint="eastAsia" w:ascii="仿宋" w:hAnsi="仿宋" w:eastAsia="仿宋" w:cs="仿宋"/>
                <w:b w:val="0"/>
                <w:bCs w:val="0"/>
              </w:rPr>
            </w:pPr>
            <w:r>
              <w:rPr>
                <w:rFonts w:hint="eastAsia" w:ascii="仿宋" w:hAnsi="仿宋" w:eastAsia="仿宋" w:cs="仿宋"/>
                <w:b w:val="0"/>
                <w:bCs w:val="0"/>
                <w:spacing w:val="-16"/>
              </w:rPr>
              <w:t>包装</w:t>
            </w:r>
          </w:p>
        </w:tc>
        <w:tc>
          <w:tcPr>
            <w:tcW w:w="1757" w:type="dxa"/>
            <w:vAlign w:val="top"/>
          </w:tcPr>
          <w:p w14:paraId="25A48E26">
            <w:pPr>
              <w:pStyle w:val="6"/>
              <w:spacing w:before="174" w:line="287" w:lineRule="auto"/>
              <w:ind w:left="554" w:right="392" w:hanging="119"/>
              <w:rPr>
                <w:rFonts w:hint="eastAsia" w:ascii="仿宋" w:hAnsi="仿宋" w:eastAsia="仿宋" w:cs="仿宋"/>
                <w:b w:val="0"/>
                <w:bCs w:val="0"/>
              </w:rPr>
            </w:pPr>
            <w:r>
              <w:rPr>
                <w:rFonts w:hint="eastAsia" w:ascii="仿宋" w:hAnsi="仿宋" w:eastAsia="仿宋" w:cs="仿宋"/>
                <w:b w:val="0"/>
                <w:bCs w:val="0"/>
                <w:spacing w:val="-12"/>
              </w:rPr>
              <w:t>数量（吨）</w:t>
            </w:r>
          </w:p>
        </w:tc>
        <w:tc>
          <w:tcPr>
            <w:tcW w:w="2422" w:type="dxa"/>
            <w:vAlign w:val="top"/>
          </w:tcPr>
          <w:p w14:paraId="683A7940">
            <w:pPr>
              <w:pStyle w:val="6"/>
              <w:spacing w:before="206" w:line="245" w:lineRule="auto"/>
              <w:ind w:left="709" w:right="484" w:hanging="179"/>
              <w:rPr>
                <w:rFonts w:hint="eastAsia" w:ascii="仿宋" w:hAnsi="仿宋" w:eastAsia="仿宋" w:cs="仿宋"/>
                <w:b w:val="0"/>
                <w:bCs w:val="0"/>
              </w:rPr>
            </w:pPr>
            <w:r>
              <w:rPr>
                <w:rFonts w:hint="eastAsia" w:ascii="仿宋" w:hAnsi="仿宋" w:eastAsia="仿宋" w:cs="仿宋"/>
                <w:b w:val="0"/>
                <w:bCs w:val="0"/>
                <w:spacing w:val="-9"/>
              </w:rPr>
              <w:t>含税单价</w:t>
            </w:r>
            <w:r>
              <w:rPr>
                <w:rFonts w:hint="eastAsia" w:ascii="仿宋" w:hAnsi="仿宋" w:eastAsia="仿宋" w:cs="仿宋"/>
                <w:b w:val="0"/>
                <w:bCs w:val="0"/>
                <w:spacing w:val="-10"/>
              </w:rPr>
              <w:t>（元/吨）</w:t>
            </w:r>
          </w:p>
        </w:tc>
        <w:tc>
          <w:tcPr>
            <w:tcW w:w="2600" w:type="dxa"/>
            <w:vAlign w:val="top"/>
          </w:tcPr>
          <w:p w14:paraId="321ABB2F">
            <w:pPr>
              <w:pStyle w:val="6"/>
              <w:spacing w:before="220" w:line="222" w:lineRule="auto"/>
              <w:ind w:left="628"/>
              <w:rPr>
                <w:rFonts w:hint="eastAsia" w:ascii="仿宋" w:hAnsi="仿宋" w:eastAsia="仿宋" w:cs="仿宋"/>
                <w:b w:val="0"/>
                <w:bCs w:val="0"/>
              </w:rPr>
            </w:pPr>
            <w:r>
              <w:rPr>
                <w:rFonts w:hint="eastAsia" w:ascii="仿宋" w:hAnsi="仿宋" w:eastAsia="仿宋" w:cs="仿宋"/>
                <w:b w:val="0"/>
                <w:bCs w:val="0"/>
                <w:spacing w:val="-9"/>
              </w:rPr>
              <w:t>暂定含税总价款</w:t>
            </w:r>
          </w:p>
          <w:p w14:paraId="14BEBD6A">
            <w:pPr>
              <w:pStyle w:val="6"/>
              <w:spacing w:before="12" w:line="227" w:lineRule="auto"/>
              <w:ind w:left="868"/>
              <w:rPr>
                <w:rFonts w:hint="eastAsia" w:ascii="仿宋" w:hAnsi="仿宋" w:eastAsia="仿宋" w:cs="仿宋"/>
                <w:b w:val="0"/>
                <w:bCs w:val="0"/>
              </w:rPr>
            </w:pPr>
            <w:r>
              <w:rPr>
                <w:rFonts w:hint="eastAsia" w:ascii="仿宋" w:hAnsi="仿宋" w:eastAsia="仿宋" w:cs="仿宋"/>
                <w:b w:val="0"/>
                <w:bCs w:val="0"/>
                <w:spacing w:val="-12"/>
              </w:rPr>
              <w:t>（元）</w:t>
            </w:r>
          </w:p>
        </w:tc>
      </w:tr>
      <w:tr w14:paraId="7C5471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7" w:hRule="atLeast"/>
        </w:trPr>
        <w:tc>
          <w:tcPr>
            <w:tcW w:w="1253" w:type="dxa"/>
            <w:vAlign w:val="top"/>
          </w:tcPr>
          <w:p w14:paraId="198B3F1F">
            <w:pPr>
              <w:pStyle w:val="6"/>
              <w:spacing w:before="153" w:line="222" w:lineRule="auto"/>
              <w:ind w:left="384"/>
              <w:rPr>
                <w:rFonts w:hint="eastAsia" w:ascii="仿宋" w:hAnsi="仿宋" w:eastAsia="仿宋" w:cs="仿宋"/>
                <w:b w:val="0"/>
                <w:bCs w:val="0"/>
              </w:rPr>
            </w:pPr>
            <w:r>
              <w:rPr>
                <w:rFonts w:hint="eastAsia" w:ascii="仿宋" w:hAnsi="仿宋" w:eastAsia="仿宋" w:cs="仿宋"/>
                <w:b w:val="0"/>
                <w:bCs w:val="0"/>
                <w:spacing w:val="-13"/>
              </w:rPr>
              <w:t>玉米</w:t>
            </w:r>
          </w:p>
        </w:tc>
        <w:tc>
          <w:tcPr>
            <w:tcW w:w="1157" w:type="dxa"/>
            <w:vAlign w:val="top"/>
          </w:tcPr>
          <w:p w14:paraId="3DFDBE39">
            <w:pPr>
              <w:pStyle w:val="6"/>
              <w:spacing w:before="153" w:line="222" w:lineRule="auto"/>
              <w:ind w:left="371"/>
              <w:rPr>
                <w:rFonts w:hint="eastAsia" w:ascii="仿宋" w:hAnsi="仿宋" w:eastAsia="仿宋" w:cs="仿宋"/>
                <w:b w:val="0"/>
                <w:bCs w:val="0"/>
              </w:rPr>
            </w:pPr>
            <w:r>
              <w:rPr>
                <w:rFonts w:hint="eastAsia" w:ascii="仿宋" w:hAnsi="仿宋" w:eastAsia="仿宋" w:cs="仿宋"/>
                <w:b w:val="0"/>
                <w:bCs w:val="0"/>
                <w:spacing w:val="-11"/>
              </w:rPr>
              <w:t>散装</w:t>
            </w:r>
          </w:p>
        </w:tc>
        <w:tc>
          <w:tcPr>
            <w:tcW w:w="1757" w:type="dxa"/>
            <w:vAlign w:val="top"/>
          </w:tcPr>
          <w:p w14:paraId="19E77C3A">
            <w:pPr>
              <w:pStyle w:val="6"/>
              <w:spacing w:before="150" w:line="241" w:lineRule="auto"/>
              <w:ind w:left="621"/>
              <w:rPr>
                <w:rFonts w:hint="eastAsia" w:ascii="仿宋" w:hAnsi="仿宋" w:eastAsia="仿宋" w:cs="仿宋"/>
                <w:b w:val="0"/>
                <w:bCs w:val="0"/>
                <w:lang w:val="en-US" w:eastAsia="zh-CN"/>
              </w:rPr>
            </w:pPr>
            <w:r>
              <w:rPr>
                <w:rFonts w:hint="eastAsia" w:ascii="仿宋" w:hAnsi="仿宋" w:eastAsia="仿宋" w:cs="仿宋"/>
                <w:b w:val="0"/>
                <w:bCs w:val="0"/>
                <w:spacing w:val="-9"/>
                <w:lang w:val="en-US" w:eastAsia="zh-CN"/>
              </w:rPr>
              <w:t>1000</w:t>
            </w:r>
          </w:p>
        </w:tc>
        <w:tc>
          <w:tcPr>
            <w:tcW w:w="2422" w:type="dxa"/>
            <w:vAlign w:val="top"/>
          </w:tcPr>
          <w:p w14:paraId="68D1DC9C">
            <w:pPr>
              <w:pStyle w:val="6"/>
              <w:spacing w:before="150" w:line="241" w:lineRule="auto"/>
              <w:ind w:left="1087"/>
              <w:rPr>
                <w:rFonts w:hint="eastAsia" w:ascii="仿宋" w:hAnsi="仿宋" w:eastAsia="仿宋" w:cs="仿宋"/>
                <w:b w:val="0"/>
                <w:bCs w:val="0"/>
                <w:lang w:val="en-US" w:eastAsia="zh-CN"/>
              </w:rPr>
            </w:pPr>
            <w:r>
              <w:rPr>
                <w:rFonts w:hint="eastAsia" w:ascii="仿宋" w:hAnsi="仿宋" w:eastAsia="仿宋" w:cs="仿宋"/>
                <w:b w:val="0"/>
                <w:bCs w:val="0"/>
                <w:lang w:val="en-US" w:eastAsia="zh-CN"/>
              </w:rPr>
              <w:t>2170</w:t>
            </w:r>
          </w:p>
        </w:tc>
        <w:tc>
          <w:tcPr>
            <w:tcW w:w="2600" w:type="dxa"/>
            <w:vAlign w:val="top"/>
          </w:tcPr>
          <w:p w14:paraId="4ABD3F8F">
            <w:pPr>
              <w:pStyle w:val="6"/>
              <w:spacing w:before="150" w:line="241" w:lineRule="auto"/>
              <w:ind w:left="863"/>
              <w:rPr>
                <w:rFonts w:hint="eastAsia" w:ascii="仿宋" w:hAnsi="仿宋" w:eastAsia="仿宋" w:cs="仿宋"/>
                <w:b w:val="0"/>
                <w:bCs w:val="0"/>
                <w:lang w:val="en-US" w:eastAsia="zh-CN"/>
              </w:rPr>
            </w:pPr>
            <w:r>
              <w:rPr>
                <w:rFonts w:hint="eastAsia" w:ascii="仿宋" w:hAnsi="仿宋" w:eastAsia="仿宋" w:cs="仿宋"/>
                <w:b w:val="0"/>
                <w:bCs w:val="0"/>
                <w:spacing w:val="-5"/>
                <w:lang w:val="en-US" w:eastAsia="zh-CN"/>
              </w:rPr>
              <w:t>2170000</w:t>
            </w:r>
          </w:p>
        </w:tc>
      </w:tr>
      <w:tr w14:paraId="5A5D32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9189" w:type="dxa"/>
            <w:gridSpan w:val="5"/>
            <w:vAlign w:val="top"/>
          </w:tcPr>
          <w:p w14:paraId="62C52583">
            <w:pPr>
              <w:pStyle w:val="6"/>
              <w:spacing w:before="48" w:line="207" w:lineRule="auto"/>
              <w:ind w:left="153"/>
              <w:rPr>
                <w:rFonts w:hint="eastAsia" w:ascii="仿宋" w:hAnsi="仿宋" w:eastAsia="仿宋" w:cs="仿宋"/>
                <w:b w:val="0"/>
                <w:bCs w:val="0"/>
              </w:rPr>
            </w:pPr>
            <w:r>
              <w:rPr>
                <w:rFonts w:hint="eastAsia" w:ascii="仿宋" w:hAnsi="仿宋" w:eastAsia="仿宋" w:cs="仿宋"/>
                <w:b w:val="0"/>
                <w:bCs w:val="0"/>
                <w:spacing w:val="-4"/>
              </w:rPr>
              <w:t>合同总价款（含税</w:t>
            </w:r>
            <w:r>
              <w:rPr>
                <w:rFonts w:hint="eastAsia" w:ascii="仿宋" w:hAnsi="仿宋" w:eastAsia="仿宋" w:cs="仿宋"/>
                <w:b w:val="0"/>
                <w:bCs w:val="0"/>
              </w:rPr>
              <w:t>）：</w:t>
            </w:r>
            <w:r>
              <w:rPr>
                <w:rFonts w:hint="eastAsia" w:ascii="仿宋" w:hAnsi="仿宋" w:eastAsia="仿宋" w:cs="仿宋"/>
                <w:b w:val="0"/>
                <w:bCs w:val="0"/>
                <w:spacing w:val="-4"/>
              </w:rPr>
              <w:t>¥</w:t>
            </w:r>
            <w:r>
              <w:rPr>
                <w:rFonts w:hint="eastAsia" w:ascii="仿宋" w:hAnsi="仿宋" w:eastAsia="仿宋" w:cs="仿宋"/>
                <w:b w:val="0"/>
                <w:bCs w:val="0"/>
                <w:spacing w:val="-4"/>
                <w:lang w:val="en-US" w:eastAsia="zh-CN"/>
              </w:rPr>
              <w:t>2170000</w:t>
            </w:r>
            <w:r>
              <w:rPr>
                <w:rFonts w:hint="eastAsia" w:ascii="仿宋" w:hAnsi="仿宋" w:eastAsia="仿宋" w:cs="仿宋"/>
                <w:b w:val="0"/>
                <w:bCs w:val="0"/>
                <w:spacing w:val="-4"/>
              </w:rPr>
              <w:t>，人民币大写：</w:t>
            </w:r>
            <w:r>
              <w:rPr>
                <w:rFonts w:hint="eastAsia" w:ascii="仿宋" w:hAnsi="仿宋" w:eastAsia="仿宋" w:cs="仿宋"/>
                <w:b w:val="0"/>
                <w:bCs w:val="0"/>
                <w:spacing w:val="-4"/>
                <w:lang w:val="en-US" w:eastAsia="zh-CN"/>
              </w:rPr>
              <w:t>贰佰壹拾柒万</w:t>
            </w:r>
            <w:r>
              <w:rPr>
                <w:rFonts w:hint="eastAsia" w:ascii="仿宋" w:hAnsi="仿宋" w:eastAsia="仿宋" w:cs="仿宋"/>
                <w:b w:val="0"/>
                <w:bCs w:val="0"/>
                <w:spacing w:val="-4"/>
              </w:rPr>
              <w:t>元整。</w:t>
            </w:r>
          </w:p>
        </w:tc>
      </w:tr>
    </w:tbl>
    <w:p w14:paraId="56BB90DC">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本合同下的货物数量及单价为暂定价格，实际结算以双方签订确认的结算单为准</w:t>
      </w:r>
    </w:p>
    <w:p w14:paraId="5CC8B784">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1、 税率变化的约定</w:t>
      </w:r>
    </w:p>
    <w:p w14:paraId="119A6C30">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（1）在合同执行过程中，如因国家税务政策调整，当增值税税率提高的,双方仍按本合同约定的含税总金额履行本合同；</w:t>
      </w:r>
    </w:p>
    <w:p w14:paraId="644E34C1">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（2）在合同执行过程中，如因国家税务政策调整，当增值税税率降低的,双方同意根据减少的增值税金额相应降低合同含税总金额。</w:t>
      </w:r>
    </w:p>
    <w:p w14:paraId="039E09F7">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第二条 质量标准：</w:t>
      </w:r>
    </w:p>
    <w:p w14:paraId="1BE206E2">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1、质量标准以货物交付时买方指定到货地点收购质量要求为准，买方有权根据卖方交货质量按照扣价方案进行增扣价格并结算付款；货物不符合买方标准的，买方有权拒收。</w:t>
      </w:r>
    </w:p>
    <w:p w14:paraId="7CC79480">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2、货物入库前若买方发现卖方存在玉米质量以次充好、掺杂造假等不诚信行为的，买方有权拒收货物</w:t>
      </w:r>
      <w:r>
        <w:rPr>
          <w:rFonts w:hint="eastAsia" w:ascii="仿宋" w:hAnsi="仿宋" w:eastAsia="仿宋" w:cs="仿宋"/>
          <w:b w:val="0"/>
          <w:bCs w:val="0"/>
          <w:spacing w:val="-3"/>
          <w:lang w:eastAsia="zh-CN"/>
        </w:rPr>
        <w:t>，</w:t>
      </w:r>
      <w:r>
        <w:rPr>
          <w:rFonts w:hint="eastAsia" w:ascii="仿宋" w:hAnsi="仿宋" w:eastAsia="仿宋" w:cs="仿宋"/>
          <w:b w:val="0"/>
          <w:bCs w:val="0"/>
          <w:spacing w:val="-3"/>
        </w:rPr>
        <w:t>且因此产生的一切费用及责任由卖方承担。</w:t>
      </w:r>
    </w:p>
    <w:p w14:paraId="6780C9DB">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3、质量标准：</w:t>
      </w:r>
    </w:p>
    <w:p w14:paraId="1ACE0BD3">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等级：一等及以上容重g/l：≥720，水分%：≤15.0，杂质%：≤1.0，不完善粒%：≤</w:t>
      </w:r>
      <w:r>
        <w:rPr>
          <w:rFonts w:hint="eastAsia" w:ascii="仿宋" w:hAnsi="仿宋" w:eastAsia="仿宋" w:cs="仿宋"/>
          <w:b w:val="0"/>
          <w:bCs w:val="0"/>
          <w:spacing w:val="-3"/>
          <w:lang w:val="en-US" w:eastAsia="zh-CN"/>
        </w:rPr>
        <w:t>6</w:t>
      </w:r>
      <w:r>
        <w:rPr>
          <w:rFonts w:hint="eastAsia" w:ascii="仿宋" w:hAnsi="仿宋" w:eastAsia="仿宋" w:cs="仿宋"/>
          <w:b w:val="0"/>
          <w:bCs w:val="0"/>
          <w:spacing w:val="-3"/>
        </w:rPr>
        <w:t>，霉变粒%：≤2.0</w:t>
      </w:r>
    </w:p>
    <w:p w14:paraId="1EEC42D4">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rPr>
        <w:t>第三条</w:t>
      </w:r>
      <w:r>
        <w:rPr>
          <w:rFonts w:hint="eastAsia" w:ascii="仿宋" w:hAnsi="仿宋" w:eastAsia="仿宋" w:cs="仿宋"/>
          <w:b w:val="0"/>
          <w:bCs w:val="0"/>
          <w:spacing w:val="-3"/>
          <w:lang w:val="en-US" w:eastAsia="zh-CN"/>
        </w:rPr>
        <w:t xml:space="preserve"> </w:t>
      </w:r>
      <w:r>
        <w:rPr>
          <w:rFonts w:hint="eastAsia" w:ascii="仿宋" w:hAnsi="仿宋" w:eastAsia="仿宋" w:cs="仿宋"/>
          <w:b w:val="0"/>
          <w:bCs w:val="0"/>
          <w:spacing w:val="-3"/>
        </w:rPr>
        <w:t>交（提）货时间</w:t>
      </w:r>
      <w:r>
        <w:rPr>
          <w:rFonts w:hint="eastAsia" w:cs="仿宋"/>
          <w:b w:val="0"/>
          <w:bCs w:val="0"/>
          <w:spacing w:val="-3"/>
          <w:lang w:val="en-US" w:eastAsia="zh-CN"/>
        </w:rPr>
        <w:t>及地点</w:t>
      </w:r>
    </w:p>
    <w:p w14:paraId="1CACB8B6">
      <w:pPr>
        <w:pStyle w:val="2"/>
        <w:spacing w:before="119" w:line="219" w:lineRule="auto"/>
        <w:rPr>
          <w:rFonts w:hint="eastAsia" w:ascii="仿宋" w:hAnsi="仿宋" w:eastAsia="仿宋" w:cs="仿宋"/>
          <w:b w:val="0"/>
          <w:bCs w:val="0"/>
          <w:spacing w:val="-3"/>
        </w:rPr>
      </w:pPr>
      <w:r>
        <w:rPr>
          <w:rFonts w:hint="eastAsia" w:cs="仿宋"/>
          <w:b w:val="0"/>
          <w:bCs w:val="0"/>
          <w:spacing w:val="-3"/>
          <w:lang w:val="en-US" w:eastAsia="zh-CN"/>
        </w:rPr>
        <w:t>1、</w:t>
      </w:r>
      <w:r>
        <w:rPr>
          <w:rFonts w:hint="eastAsia" w:ascii="仿宋" w:hAnsi="仿宋" w:eastAsia="仿宋" w:cs="仿宋"/>
          <w:b w:val="0"/>
          <w:bCs w:val="0"/>
          <w:spacing w:val="-3"/>
        </w:rPr>
        <w:t>交（提）货时间</w:t>
      </w:r>
      <w:r>
        <w:rPr>
          <w:rFonts w:hint="eastAsia" w:cs="仿宋"/>
          <w:b w:val="0"/>
          <w:bCs w:val="0"/>
          <w:spacing w:val="-3"/>
          <w:lang w:eastAsia="zh-CN"/>
        </w:rPr>
        <w:t>：</w:t>
      </w:r>
      <w:r>
        <w:rPr>
          <w:rFonts w:hint="eastAsia" w:ascii="仿宋" w:hAnsi="仿宋" w:eastAsia="仿宋" w:cs="仿宋"/>
          <w:b w:val="0"/>
          <w:bCs w:val="0"/>
          <w:spacing w:val="-3"/>
        </w:rPr>
        <w:t>2025年10月</w:t>
      </w:r>
      <w:r>
        <w:rPr>
          <w:rFonts w:hint="eastAsia" w:ascii="仿宋" w:hAnsi="仿宋" w:eastAsia="仿宋" w:cs="仿宋"/>
          <w:b w:val="0"/>
          <w:bCs w:val="0"/>
          <w:spacing w:val="-3"/>
          <w:lang w:val="en-US" w:eastAsia="zh-CN"/>
        </w:rPr>
        <w:t>20</w:t>
      </w:r>
      <w:r>
        <w:rPr>
          <w:rFonts w:hint="eastAsia" w:ascii="仿宋" w:hAnsi="仿宋" w:eastAsia="仿宋" w:cs="仿宋"/>
          <w:b w:val="0"/>
          <w:bCs w:val="0"/>
          <w:spacing w:val="-3"/>
        </w:rPr>
        <w:t>日至 2025年11月</w:t>
      </w:r>
      <w:r>
        <w:rPr>
          <w:rFonts w:hint="eastAsia" w:ascii="仿宋" w:hAnsi="仿宋" w:eastAsia="仿宋" w:cs="仿宋"/>
          <w:b w:val="0"/>
          <w:bCs w:val="0"/>
          <w:spacing w:val="-3"/>
          <w:lang w:val="en-US" w:eastAsia="zh-CN"/>
        </w:rPr>
        <w:t>5</w:t>
      </w:r>
      <w:r>
        <w:rPr>
          <w:rFonts w:hint="eastAsia" w:ascii="仿宋" w:hAnsi="仿宋" w:eastAsia="仿宋" w:cs="仿宋"/>
          <w:b w:val="0"/>
          <w:bCs w:val="0"/>
          <w:spacing w:val="-3"/>
        </w:rPr>
        <w:t>日之前。</w:t>
      </w:r>
    </w:p>
    <w:p w14:paraId="66BDF9DD">
      <w:pPr>
        <w:pStyle w:val="2"/>
        <w:spacing w:before="119" w:line="219" w:lineRule="auto"/>
        <w:rPr>
          <w:rFonts w:hint="default" w:ascii="仿宋" w:hAnsi="仿宋" w:eastAsia="仿宋" w:cs="仿宋"/>
          <w:b w:val="0"/>
          <w:bCs w:val="0"/>
          <w:spacing w:val="-3"/>
          <w:lang w:val="en-US" w:eastAsia="zh-CN"/>
        </w:rPr>
      </w:pPr>
      <w:r>
        <w:rPr>
          <w:rFonts w:hint="eastAsia" w:cs="仿宋"/>
          <w:b w:val="0"/>
          <w:bCs w:val="0"/>
          <w:spacing w:val="-3"/>
          <w:lang w:val="en-US" w:eastAsia="zh-CN"/>
        </w:rPr>
        <w:t>2、交付地点：阳谷站（买方指定铁路站台）</w:t>
      </w:r>
    </w:p>
    <w:p w14:paraId="240A70A2">
      <w:pPr>
        <w:pStyle w:val="2"/>
        <w:spacing w:before="119" w:line="219" w:lineRule="auto"/>
        <w:rPr>
          <w:rFonts w:hint="default"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 xml:space="preserve">第四条 </w:t>
      </w:r>
      <w:r>
        <w:rPr>
          <w:rFonts w:hint="eastAsia" w:ascii="仿宋" w:hAnsi="仿宋" w:eastAsia="仿宋" w:cs="仿宋"/>
          <w:b w:val="0"/>
          <w:bCs w:val="0"/>
          <w:spacing w:val="-3"/>
        </w:rPr>
        <w:t>货物交付地点、方式</w:t>
      </w:r>
      <w:r>
        <w:rPr>
          <w:rFonts w:hint="eastAsia" w:cs="仿宋"/>
          <w:b w:val="0"/>
          <w:bCs w:val="0"/>
          <w:spacing w:val="-3"/>
          <w:lang w:eastAsia="zh-CN"/>
        </w:rPr>
        <w:t>、</w:t>
      </w:r>
      <w:r>
        <w:rPr>
          <w:rFonts w:hint="eastAsia" w:ascii="仿宋" w:hAnsi="仿宋" w:eastAsia="仿宋" w:cs="仿宋"/>
          <w:b w:val="0"/>
          <w:bCs w:val="0"/>
          <w:spacing w:val="-3"/>
        </w:rPr>
        <w:t>费用承担</w:t>
      </w:r>
      <w:r>
        <w:rPr>
          <w:rFonts w:hint="eastAsia" w:cs="仿宋"/>
          <w:b w:val="0"/>
          <w:bCs w:val="0"/>
          <w:spacing w:val="-3"/>
          <w:lang w:val="en-US" w:eastAsia="zh-CN"/>
        </w:rPr>
        <w:t>与结算</w:t>
      </w:r>
    </w:p>
    <w:p w14:paraId="3CA0D71E">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1、买方指定到货地点及收货联系人以买方出具的提货委托书为准。</w:t>
      </w:r>
    </w:p>
    <w:p w14:paraId="3C6754E6">
      <w:pPr>
        <w:pStyle w:val="2"/>
        <w:spacing w:before="119" w:line="219" w:lineRule="auto"/>
        <w:rPr>
          <w:rFonts w:hint="eastAsia" w:cs="仿宋"/>
          <w:b w:val="0"/>
          <w:bCs w:val="0"/>
          <w:spacing w:val="-3"/>
          <w:lang w:eastAsia="zh-CN"/>
        </w:rPr>
      </w:pPr>
      <w:r>
        <w:rPr>
          <w:rFonts w:hint="eastAsia" w:ascii="仿宋" w:hAnsi="仿宋" w:eastAsia="仿宋" w:cs="仿宋"/>
          <w:b w:val="0"/>
          <w:bCs w:val="0"/>
          <w:spacing w:val="-3"/>
        </w:rPr>
        <w:t>（1）定价模式：本合同约定货物单价为“到站价格 ”，该价格含税金</w:t>
      </w:r>
      <w:r>
        <w:rPr>
          <w:rFonts w:hint="eastAsia" w:cs="仿宋"/>
          <w:b w:val="0"/>
          <w:bCs w:val="0"/>
          <w:spacing w:val="-3"/>
          <w:lang w:eastAsia="zh-CN"/>
        </w:rPr>
        <w:t>、</w:t>
      </w:r>
      <w:r>
        <w:rPr>
          <w:rFonts w:hint="eastAsia" w:ascii="仿宋" w:hAnsi="仿宋" w:eastAsia="仿宋" w:cs="仿宋"/>
          <w:b w:val="0"/>
          <w:bCs w:val="0"/>
          <w:spacing w:val="-3"/>
        </w:rPr>
        <w:t>装卸费、运费等卖方将货物整齐交付至买方指定到货地点前的一切费用及风险费用</w:t>
      </w:r>
      <w:r>
        <w:rPr>
          <w:rFonts w:hint="eastAsia" w:cs="仿宋"/>
          <w:b w:val="0"/>
          <w:bCs w:val="0"/>
          <w:spacing w:val="-3"/>
          <w:lang w:eastAsia="zh-CN"/>
        </w:rPr>
        <w:t>。</w:t>
      </w:r>
    </w:p>
    <w:p w14:paraId="7A98DBCB">
      <w:pPr>
        <w:pStyle w:val="2"/>
        <w:spacing w:before="119" w:line="219" w:lineRule="auto"/>
        <w:rPr>
          <w:rFonts w:hint="eastAsia" w:cs="仿宋"/>
          <w:b w:val="0"/>
          <w:bCs w:val="0"/>
          <w:spacing w:val="-3"/>
          <w:lang w:eastAsia="zh-CN"/>
        </w:rPr>
      </w:pPr>
      <w:r>
        <w:rPr>
          <w:rFonts w:hint="eastAsia" w:cs="仿宋"/>
          <w:b w:val="0"/>
          <w:bCs w:val="0"/>
          <w:spacing w:val="-3"/>
          <w:lang w:eastAsia="zh-CN"/>
        </w:rPr>
        <w:t>（</w:t>
      </w:r>
      <w:r>
        <w:rPr>
          <w:rFonts w:hint="eastAsia" w:cs="仿宋"/>
          <w:b w:val="0"/>
          <w:bCs w:val="0"/>
          <w:spacing w:val="-3"/>
          <w:lang w:val="en-US" w:eastAsia="zh-CN"/>
        </w:rPr>
        <w:t>2</w:t>
      </w:r>
      <w:r>
        <w:rPr>
          <w:rFonts w:hint="eastAsia" w:cs="仿宋"/>
          <w:b w:val="0"/>
          <w:bCs w:val="0"/>
          <w:spacing w:val="-3"/>
          <w:lang w:eastAsia="zh-CN"/>
        </w:rPr>
        <w:t>）运费承担与结算：因铁路运输需由买方负责办理请车事宜</w:t>
      </w:r>
      <w:r>
        <w:rPr>
          <w:rFonts w:hint="eastAsia" w:cs="仿宋"/>
          <w:b w:val="0"/>
          <w:bCs w:val="0"/>
          <w:spacing w:val="-3"/>
          <w:lang w:val="en-US" w:eastAsia="zh-CN"/>
        </w:rPr>
        <w:t>(铁路大票发货人是买方）</w:t>
      </w:r>
      <w:r>
        <w:rPr>
          <w:rFonts w:hint="eastAsia" w:cs="仿宋"/>
          <w:b w:val="0"/>
          <w:bCs w:val="0"/>
          <w:spacing w:val="-3"/>
          <w:lang w:eastAsia="zh-CN"/>
        </w:rPr>
        <w:t>，货物所产生的铁路运费由买方先行垫付。最终结算价格=合同约定到站价格2170元/</w:t>
      </w:r>
      <w:r>
        <w:rPr>
          <w:rFonts w:hint="eastAsia" w:cs="仿宋"/>
          <w:b w:val="0"/>
          <w:bCs w:val="0"/>
          <w:spacing w:val="-3"/>
          <w:lang w:val="en-US" w:eastAsia="zh-CN"/>
        </w:rPr>
        <w:t>吨*实际发运数量</w:t>
      </w:r>
      <w:r>
        <w:rPr>
          <w:rFonts w:hint="eastAsia" w:cs="仿宋"/>
          <w:b w:val="0"/>
          <w:bCs w:val="0"/>
          <w:spacing w:val="-3"/>
          <w:lang w:eastAsia="zh-CN"/>
        </w:rPr>
        <w:t xml:space="preserve"> - 买方实际垫付的铁路运费（以铁路</w:t>
      </w:r>
      <w:r>
        <w:rPr>
          <w:rFonts w:hint="eastAsia" w:cs="仿宋"/>
          <w:b w:val="0"/>
          <w:bCs w:val="0"/>
          <w:spacing w:val="-3"/>
          <w:lang w:val="en-US" w:eastAsia="zh-CN"/>
        </w:rPr>
        <w:t>大票上的</w:t>
      </w:r>
      <w:r>
        <w:rPr>
          <w:rFonts w:hint="eastAsia" w:cs="仿宋"/>
          <w:b w:val="0"/>
          <w:bCs w:val="0"/>
          <w:spacing w:val="-3"/>
          <w:lang w:eastAsia="zh-CN"/>
        </w:rPr>
        <w:t>运费为准）。</w:t>
      </w:r>
    </w:p>
    <w:p w14:paraId="7420AADF">
      <w:pPr>
        <w:pStyle w:val="2"/>
        <w:spacing w:before="119" w:line="219" w:lineRule="auto"/>
        <w:rPr>
          <w:rFonts w:hint="eastAsia" w:ascii="仿宋" w:hAnsi="仿宋" w:eastAsia="仿宋" w:cs="仿宋"/>
          <w:b w:val="0"/>
          <w:bCs w:val="0"/>
          <w:spacing w:val="-3"/>
        </w:rPr>
      </w:pPr>
      <w:r>
        <w:rPr>
          <w:rFonts w:hint="eastAsia" w:ascii="仿宋" w:hAnsi="仿宋" w:eastAsia="仿宋" w:cs="仿宋"/>
          <w:b w:val="0"/>
          <w:bCs w:val="0"/>
          <w:spacing w:val="-3"/>
        </w:rPr>
        <w:t>（</w:t>
      </w:r>
      <w:r>
        <w:rPr>
          <w:rFonts w:hint="eastAsia" w:cs="仿宋"/>
          <w:b w:val="0"/>
          <w:bCs w:val="0"/>
          <w:spacing w:val="-3"/>
          <w:lang w:val="en-US" w:eastAsia="zh-CN"/>
        </w:rPr>
        <w:t>3</w:t>
      </w:r>
      <w:r>
        <w:rPr>
          <w:rFonts w:hint="eastAsia" w:ascii="仿宋" w:hAnsi="仿宋" w:eastAsia="仿宋" w:cs="仿宋"/>
          <w:b w:val="0"/>
          <w:bCs w:val="0"/>
          <w:spacing w:val="-3"/>
        </w:rPr>
        <w:t>）风险及所有权转移：卖方将符合本合同约定标准的相应批次的货物运输至买方指定到货地点并提货完毕后，视为卖方完成相应批次货物的交付</w:t>
      </w:r>
      <w:r>
        <w:rPr>
          <w:rFonts w:hint="eastAsia" w:cs="仿宋"/>
          <w:b w:val="0"/>
          <w:bCs w:val="0"/>
          <w:spacing w:val="-3"/>
          <w:lang w:eastAsia="zh-CN"/>
        </w:rPr>
        <w:t>；</w:t>
      </w:r>
      <w:r>
        <w:rPr>
          <w:rFonts w:hint="eastAsia" w:ascii="仿宋" w:hAnsi="仿宋" w:eastAsia="仿宋" w:cs="仿宋"/>
          <w:b w:val="0"/>
          <w:bCs w:val="0"/>
          <w:spacing w:val="-3"/>
        </w:rPr>
        <w:t>交付前该批次货物的毁损灭失等有关风险由卖方承担，交付完成后由买方承担。该批次货物的所有权自交付时起转移。</w:t>
      </w:r>
    </w:p>
    <w:p w14:paraId="4B48D150">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第五条 双方的陈述和保证</w:t>
      </w:r>
    </w:p>
    <w:p w14:paraId="62FF6CDB">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卖方承诺，对交付至买方的货物拥有完整的所有权，交付货物权属清晰,不存在被任何他方追索之风险，不存在任何被质押、被查封、被冻结等限制转让的情形。卖方为签署本合同而向买方提卖的货物的相关信息完整真实。</w:t>
      </w:r>
    </w:p>
    <w:p w14:paraId="195D7FD8">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2、买方承诺，其购买货物的资金来源合法。</w:t>
      </w:r>
      <w:bookmarkStart w:id="0" w:name="_GoBack"/>
      <w:bookmarkEnd w:id="0"/>
    </w:p>
    <w:p w14:paraId="614A710F">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第六条 验收</w:t>
      </w:r>
    </w:p>
    <w:p w14:paraId="1ED86C90">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 数量验收：结算数量以买方入库仓库（具体以买方通知为准）地磅计量结果为准。若一方对地磅计量有异议的，由双方协商一致，向有资质的第三方检 验机构申请校验；校验费用由异议方预付，最终由过错方承担。</w:t>
      </w:r>
    </w:p>
    <w:p w14:paraId="27C17081">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2、 质量验收：货物到达指定交货地点后，由采购方进行质量检测，检测合格后称重提货，检测不合格退回。</w:t>
      </w:r>
    </w:p>
    <w:p w14:paraId="0D4C0481">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第七条 结算方式</w:t>
      </w:r>
    </w:p>
    <w:p w14:paraId="7C4B2CAF">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1、卖方依约分批交付货物，买方依据铁路大票付9</w:t>
      </w:r>
      <w:r>
        <w:rPr>
          <w:rFonts w:hint="eastAsia" w:cs="仿宋"/>
          <w:b w:val="0"/>
          <w:bCs w:val="0"/>
          <w:spacing w:val="-3"/>
          <w:lang w:val="en-US" w:eastAsia="zh-CN"/>
        </w:rPr>
        <w:t>0</w:t>
      </w:r>
      <w:r>
        <w:rPr>
          <w:rFonts w:hint="eastAsia" w:ascii="仿宋" w:hAnsi="仿宋" w:eastAsia="仿宋" w:cs="仿宋"/>
          <w:b w:val="0"/>
          <w:bCs w:val="0"/>
          <w:spacing w:val="-3"/>
          <w:lang w:val="en-US" w:eastAsia="zh-CN"/>
        </w:rPr>
        <w:t>%货款，剩余尾款在收到货物并对货物验收合格、提货完毕，出具结算单并收到对应增值税专用发票后3日内付清。</w:t>
      </w:r>
    </w:p>
    <w:p w14:paraId="4EABC109">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第八条 违约事项</w:t>
      </w:r>
    </w:p>
    <w:p w14:paraId="125E15B6">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自逾期之日起，卖方应按照合同总金额（含税，下同）每日万分之五的标准向买方支付逾期违约金，直至卖方足额付清全部履约保证金之日止。卖方逾期支付超过3日的，买方有权解除合同，并要求卖方支付合同总金额 10%的违约金。</w:t>
      </w:r>
    </w:p>
    <w:p w14:paraId="3CDDEF47">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2.卖方逾期交付货物的</w:t>
      </w:r>
      <w:r>
        <w:rPr>
          <w:rFonts w:hint="eastAsia" w:cs="仿宋"/>
          <w:b w:val="0"/>
          <w:bCs w:val="0"/>
          <w:spacing w:val="-3"/>
          <w:lang w:val="en-US" w:eastAsia="zh-CN"/>
        </w:rPr>
        <w:t>，</w:t>
      </w:r>
      <w:r>
        <w:rPr>
          <w:rFonts w:hint="eastAsia" w:ascii="仿宋" w:hAnsi="仿宋" w:eastAsia="仿宋" w:cs="仿宋"/>
          <w:b w:val="0"/>
          <w:bCs w:val="0"/>
          <w:spacing w:val="-3"/>
          <w:lang w:val="en-US" w:eastAsia="zh-CN"/>
        </w:rPr>
        <w:t>自逾期之日起，卖方应按照逾期交付部分的货物总金额每日万分之五向买方支付违约金，直至卖方交付全部货物之日止。卖方逾期交付货物超过 15 日的，买方有权解除合同，并要求卖方支付合同总金额10%的违约金。</w:t>
      </w:r>
    </w:p>
    <w:p w14:paraId="71963F55">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3.卖方应按照本合同规定交付合同货物，若发现卖方在销售过程中弄虚作假、交付货物的品名、产地、产季等不符合合同约定的，卖方应当向买方支付本合同总金额 20%的违约金，违约金不足以弥补买方实际损失的，卖方应当赔偿甲方所有经济损失。</w:t>
      </w:r>
    </w:p>
    <w:p w14:paraId="3ADEE753">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4.卖方交付的货物数量高于溢短装约定比例的，买方可以拒收高出的部分；低于溢短装约定比例的， 买方可以要求卖方在买方限定的期限内补足，卖方未在买方限定期限内补足的，卖方按本条相关规定承担违约责任。买方同意接收高出部分或要求补足部分货物的，高出或补足部分的货物按照合同约定的价格支付货款。</w:t>
      </w:r>
    </w:p>
    <w:p w14:paraId="13483CC7">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5.因货物不符合质量要求，买方有权拒绝接受货物或者解除合同，并要求卖方支付合同总金额10%的违约金。违约金可从未支付货款中直接扣除，不足部分买方有权继续向卖方追偿。</w:t>
      </w:r>
    </w:p>
    <w:p w14:paraId="21A93381">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6.卖方未按时或未足额向买方提供发票，或所提供的发票不符合税务部门相关要求的，买方有权拒付发票相应金额的货款且不承担任何违约责任，且卖方应当赔偿买方由此产生的所有经济损失（包括但不限于不能抵扣进项税额、税务部门处罚等）。</w:t>
      </w:r>
    </w:p>
    <w:p w14:paraId="3A49F1F8">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7.因卖方上述违约情形而解除合同的，买方不再退还已收取的履约保证金。</w:t>
      </w:r>
    </w:p>
    <w:p w14:paraId="3F79084F">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8.在本合同中，逾期违约金、合同解除违约金和没收履约保证金等违约责任可同时并存，买方有权要求卖方同时承担上述违约责任。</w:t>
      </w:r>
    </w:p>
    <w:p w14:paraId="09FBFBF1">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9.双方确认，合同约定的违约金是综合考虑合同签署目的、当地市场情况及双方合同签署前后投入等各项成本等因素自愿协商得出，卖方自愿放弃向仲裁机构或法院以任何理由申请降低本合同约定的违约金的权利。本条款约定的违约金不足以弥补买方损失的，买方有权要求卖方继续赔偿损失。继续赔偿的损失包括但不限于保管费用、运输费用、收购费用、自行处置合同项下货物所产生的其他费用及为维护合法权益所支出的取证、公告、公证及诉讼、保全、诉讼保全责任保险、律师费等合理支出。</w:t>
      </w:r>
    </w:p>
    <w:p w14:paraId="793FF577">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第九条 不可抗力</w:t>
      </w:r>
    </w:p>
    <w:p w14:paraId="76DBBB85">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1、买卖任何一方因不可抗力造成本合同未能履行或未能按合同约定条件履行 时，受影响一方应于不可抗力事件发生之日起 10 日内通知对方，并及时采取必 要措施降低、减少损失，及提卖不可抗力事故的有效证明文件。因不可抗力原因 造成合同不能履行的，买卖双方不承担违约责任。但未及时采取必要措施而造成 损失扩大的，应当承担损失扩大的赔偿责任。</w:t>
      </w:r>
    </w:p>
    <w:p w14:paraId="5C544594">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第十条 争议解决</w:t>
      </w:r>
    </w:p>
    <w:p w14:paraId="1B2F7726">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1、买卖双方如在履行合同中发生争议或纠纷，首先应友好协商，协商不成的， 任何一方均可向买方所在地有管辖权的人民法院提起诉讼。</w:t>
      </w:r>
    </w:p>
    <w:p w14:paraId="08BB52BF">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第十</w:t>
      </w:r>
      <w:r>
        <w:rPr>
          <w:rFonts w:hint="eastAsia" w:cs="仿宋"/>
          <w:b w:val="0"/>
          <w:bCs w:val="0"/>
          <w:spacing w:val="-3"/>
          <w:lang w:val="en-US" w:eastAsia="zh-CN"/>
        </w:rPr>
        <w:t>一</w:t>
      </w:r>
      <w:r>
        <w:rPr>
          <w:rFonts w:hint="eastAsia" w:ascii="仿宋" w:hAnsi="仿宋" w:eastAsia="仿宋" w:cs="仿宋"/>
          <w:b w:val="0"/>
          <w:bCs w:val="0"/>
          <w:spacing w:val="-3"/>
          <w:lang w:val="en-US" w:eastAsia="zh-CN"/>
        </w:rPr>
        <w:t>条 合同的生效</w:t>
      </w:r>
    </w:p>
    <w:p w14:paraId="72C4205C">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1 、本合同在买卖双方盖章后即生效。本合同若以传真件签署的同样有效。</w:t>
      </w:r>
    </w:p>
    <w:p w14:paraId="616B4353">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2、 本合同一式贰份，买卖双方各执壹份，具有同等法律效力。</w:t>
      </w:r>
    </w:p>
    <w:p w14:paraId="5EE65884">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3、 本合同若有附件、补充条款和补充协议，均为本合同不可分割的组成部分，与合同具有同等法律效力。</w:t>
      </w:r>
    </w:p>
    <w:p w14:paraId="0FC77064">
      <w:pPr>
        <w:pStyle w:val="2"/>
        <w:spacing w:before="119" w:line="219" w:lineRule="auto"/>
        <w:rPr>
          <w:rFonts w:hint="eastAsia" w:ascii="仿宋" w:hAnsi="仿宋" w:eastAsia="仿宋" w:cs="仿宋"/>
          <w:b w:val="0"/>
          <w:bCs w:val="0"/>
          <w:spacing w:val="-3"/>
          <w:lang w:val="en-US" w:eastAsia="zh-CN"/>
        </w:rPr>
      </w:pPr>
    </w:p>
    <w:p w14:paraId="345BADA4">
      <w:pPr>
        <w:pStyle w:val="2"/>
        <w:spacing w:before="119" w:line="219" w:lineRule="auto"/>
        <w:rPr>
          <w:rFonts w:hint="eastAsia" w:ascii="仿宋" w:hAnsi="仿宋" w:eastAsia="仿宋" w:cs="仿宋"/>
          <w:b w:val="0"/>
          <w:bCs w:val="0"/>
          <w:spacing w:val="-3"/>
          <w:lang w:val="en-US" w:eastAsia="zh-CN"/>
        </w:rPr>
      </w:pPr>
    </w:p>
    <w:p w14:paraId="4D4B6E48">
      <w:pPr>
        <w:pStyle w:val="2"/>
        <w:spacing w:before="119" w:line="219" w:lineRule="auto"/>
        <w:rPr>
          <w:rFonts w:hint="eastAsia" w:ascii="仿宋" w:hAnsi="仿宋" w:eastAsia="仿宋" w:cs="仿宋"/>
          <w:b w:val="0"/>
          <w:bCs w:val="0"/>
          <w:spacing w:val="-3"/>
          <w:lang w:val="en-US" w:eastAsia="zh-CN"/>
        </w:rPr>
      </w:pPr>
    </w:p>
    <w:p w14:paraId="33E31D2A">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 xml:space="preserve">买方（盖章）： </w:t>
      </w:r>
    </w:p>
    <w:p w14:paraId="205DCAC1">
      <w:pPr>
        <w:pStyle w:val="2"/>
        <w:spacing w:before="119" w:line="219" w:lineRule="auto"/>
        <w:rPr>
          <w:rFonts w:hint="eastAsia" w:ascii="仿宋" w:hAnsi="仿宋" w:eastAsia="仿宋" w:cs="仿宋"/>
          <w:b w:val="0"/>
          <w:bCs w:val="0"/>
          <w:spacing w:val="-3"/>
          <w:lang w:val="en-US" w:eastAsia="zh-CN"/>
        </w:rPr>
      </w:pPr>
    </w:p>
    <w:p w14:paraId="375EAA30">
      <w:pPr>
        <w:pStyle w:val="2"/>
        <w:spacing w:before="119" w:line="219" w:lineRule="auto"/>
        <w:rPr>
          <w:rFonts w:hint="eastAsia" w:ascii="仿宋" w:hAnsi="仿宋" w:eastAsia="仿宋" w:cs="仿宋"/>
          <w:b w:val="0"/>
          <w:bCs w:val="0"/>
          <w:spacing w:val="-3"/>
          <w:lang w:val="en-US" w:eastAsia="zh-CN"/>
        </w:rPr>
      </w:pPr>
    </w:p>
    <w:p w14:paraId="28FE5545">
      <w:pPr>
        <w:pStyle w:val="2"/>
        <w:spacing w:before="119" w:line="219" w:lineRule="auto"/>
        <w:rPr>
          <w:rFonts w:hint="eastAsia" w:ascii="仿宋" w:hAnsi="仿宋" w:eastAsia="仿宋" w:cs="仿宋"/>
          <w:b w:val="0"/>
          <w:bCs w:val="0"/>
          <w:spacing w:val="-3"/>
          <w:lang w:val="en-US" w:eastAsia="zh-CN"/>
        </w:rPr>
      </w:pPr>
    </w:p>
    <w:p w14:paraId="523703D3">
      <w:pPr>
        <w:pStyle w:val="2"/>
        <w:spacing w:before="119" w:line="219" w:lineRule="auto"/>
        <w:rPr>
          <w:rFonts w:hint="eastAsia" w:ascii="仿宋" w:hAnsi="仿宋" w:eastAsia="仿宋" w:cs="仿宋"/>
          <w:b w:val="0"/>
          <w:bCs w:val="0"/>
          <w:spacing w:val="-3"/>
          <w:lang w:val="en-US" w:eastAsia="zh-CN"/>
        </w:rPr>
      </w:pPr>
    </w:p>
    <w:p w14:paraId="75B6000E">
      <w:pPr>
        <w:pStyle w:val="2"/>
        <w:spacing w:before="119" w:line="219" w:lineRule="auto"/>
        <w:rPr>
          <w:rFonts w:hint="eastAsia" w:ascii="仿宋" w:hAnsi="仿宋" w:eastAsia="仿宋" w:cs="仿宋"/>
          <w:b w:val="0"/>
          <w:bCs w:val="0"/>
          <w:spacing w:val="-3"/>
          <w:lang w:val="en-US" w:eastAsia="zh-CN"/>
        </w:rPr>
      </w:pPr>
    </w:p>
    <w:p w14:paraId="6AE1C26B">
      <w:pPr>
        <w:pStyle w:val="2"/>
        <w:spacing w:before="119" w:line="219" w:lineRule="auto"/>
        <w:rPr>
          <w:rFonts w:hint="eastAsia" w:ascii="仿宋" w:hAnsi="仿宋" w:eastAsia="仿宋" w:cs="仿宋"/>
          <w:b w:val="0"/>
          <w:bCs w:val="0"/>
          <w:spacing w:val="-3"/>
          <w:lang w:val="en-US" w:eastAsia="zh-CN"/>
        </w:rPr>
      </w:pPr>
    </w:p>
    <w:p w14:paraId="5332B1E8">
      <w:pPr>
        <w:pStyle w:val="2"/>
        <w:spacing w:before="119" w:line="219" w:lineRule="auto"/>
        <w:rPr>
          <w:rFonts w:hint="eastAsia" w:ascii="仿宋" w:hAnsi="仿宋" w:eastAsia="仿宋" w:cs="仿宋"/>
          <w:b w:val="0"/>
          <w:bCs w:val="0"/>
          <w:spacing w:val="-3"/>
          <w:lang w:val="en-US" w:eastAsia="zh-CN"/>
        </w:rPr>
      </w:pPr>
    </w:p>
    <w:p w14:paraId="3B3F30B5">
      <w:pPr>
        <w:pStyle w:val="2"/>
        <w:spacing w:before="119" w:line="219" w:lineRule="auto"/>
        <w:rPr>
          <w:rFonts w:hint="eastAsia" w:ascii="仿宋" w:hAnsi="仿宋" w:eastAsia="仿宋" w:cs="仿宋"/>
          <w:b w:val="0"/>
          <w:bCs w:val="0"/>
          <w:spacing w:val="-3"/>
          <w:lang w:val="en-US" w:eastAsia="zh-CN"/>
        </w:rPr>
      </w:pPr>
    </w:p>
    <w:p w14:paraId="34DFB0F0">
      <w:pPr>
        <w:pStyle w:val="2"/>
        <w:spacing w:before="119" w:line="219" w:lineRule="auto"/>
        <w:rPr>
          <w:rFonts w:hint="eastAsia" w:ascii="仿宋" w:hAnsi="仿宋" w:eastAsia="仿宋" w:cs="仿宋"/>
          <w:b w:val="0"/>
          <w:bCs w:val="0"/>
          <w:spacing w:val="-3"/>
          <w:lang w:val="en-US" w:eastAsia="zh-CN"/>
        </w:rPr>
      </w:pPr>
      <w:r>
        <w:rPr>
          <w:rFonts w:hint="eastAsia" w:ascii="仿宋" w:hAnsi="仿宋" w:eastAsia="仿宋" w:cs="仿宋"/>
          <w:b w:val="0"/>
          <w:bCs w:val="0"/>
          <w:spacing w:val="-3"/>
          <w:lang w:val="en-US" w:eastAsia="zh-CN"/>
        </w:rPr>
        <w:t>卖方（盖章）：</w:t>
      </w:r>
    </w:p>
    <w:p w14:paraId="07F1F46C">
      <w:pPr>
        <w:pStyle w:val="2"/>
        <w:spacing w:before="119" w:line="219" w:lineRule="auto"/>
        <w:rPr>
          <w:rFonts w:hint="eastAsia" w:ascii="仿宋" w:hAnsi="仿宋" w:eastAsia="仿宋" w:cs="仿宋"/>
          <w:b w:val="0"/>
          <w:bCs w:val="0"/>
          <w:spacing w:val="-3"/>
          <w:lang w:val="en-US" w:eastAsia="zh-CN"/>
        </w:rPr>
      </w:pPr>
    </w:p>
    <w:p w14:paraId="7DAF6F19">
      <w:pPr>
        <w:pStyle w:val="2"/>
        <w:spacing w:before="119" w:line="219" w:lineRule="auto"/>
        <w:rPr>
          <w:rFonts w:hint="eastAsia" w:ascii="仿宋" w:hAnsi="仿宋" w:eastAsia="仿宋" w:cs="仿宋"/>
          <w:b w:val="0"/>
          <w:bCs w:val="0"/>
          <w:spacing w:val="-3"/>
          <w:lang w:val="en-US" w:eastAsia="zh-CN"/>
        </w:rPr>
      </w:pPr>
    </w:p>
    <w:p w14:paraId="69F43E2F">
      <w:pPr>
        <w:pStyle w:val="2"/>
        <w:spacing w:before="119" w:line="219" w:lineRule="auto"/>
        <w:rPr>
          <w:rFonts w:hint="eastAsia" w:ascii="仿宋" w:hAnsi="仿宋" w:eastAsia="仿宋" w:cs="仿宋"/>
          <w:b w:val="0"/>
          <w:bCs w:val="0"/>
          <w:spacing w:val="-3"/>
          <w:lang w:val="en-US" w:eastAsia="zh-CN"/>
        </w:rPr>
      </w:pPr>
    </w:p>
    <w:p w14:paraId="5840BA1E">
      <w:pPr>
        <w:pStyle w:val="2"/>
        <w:spacing w:before="78" w:line="222" w:lineRule="auto"/>
        <w:jc w:val="right"/>
        <w:rPr>
          <w:rFonts w:hint="eastAsia" w:ascii="仿宋" w:hAnsi="仿宋" w:eastAsia="仿宋" w:cs="仿宋"/>
          <w:b w:val="0"/>
          <w:bCs w:val="0"/>
          <w:spacing w:val="-3"/>
          <w:lang w:val="en-US" w:eastAsia="zh-CN"/>
        </w:rPr>
      </w:pPr>
      <w:r>
        <w:rPr>
          <w:b/>
          <w:bCs/>
          <w:spacing w:val="-10"/>
        </w:rPr>
        <w:t>签订时间：2025年</w:t>
      </w:r>
      <w:r>
        <w:rPr>
          <w:rFonts w:hint="eastAsia"/>
          <w:spacing w:val="-10"/>
          <w:lang w:val="en-US" w:eastAsia="zh-CN"/>
        </w:rPr>
        <w:t xml:space="preserve">    </w:t>
      </w:r>
      <w:r>
        <w:rPr>
          <w:b/>
          <w:bCs/>
          <w:spacing w:val="-10"/>
        </w:rPr>
        <w:t>月</w:t>
      </w:r>
      <w:r>
        <w:rPr>
          <w:rFonts w:hint="eastAsia"/>
          <w:b/>
          <w:bCs/>
          <w:spacing w:val="-10"/>
          <w:lang w:val="en-US" w:eastAsia="zh-CN"/>
        </w:rPr>
        <w:t xml:space="preserve">      </w:t>
      </w:r>
      <w:r>
        <w:rPr>
          <w:b/>
          <w:bCs/>
          <w:spacing w:val="-10"/>
        </w:rPr>
        <w:t>日</w:t>
      </w: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A63E3F">
    <w:pPr>
      <w:spacing w:line="180" w:lineRule="auto"/>
      <w:ind w:left="4056"/>
      <w:rPr>
        <w:rFonts w:ascii="Times New Roman" w:hAnsi="Times New Roman" w:eastAsia="Times New Roman" w:cs="Times New Roman"/>
        <w:sz w:val="18"/>
        <w:szCs w:val="18"/>
      </w:rPr>
    </w:pPr>
    <w:r>
      <w:rPr>
        <w:rFonts w:ascii="Times New Roman" w:hAnsi="Times New Roman" w:eastAsia="Times New Roman" w:cs="Times New Roman"/>
        <w:b/>
        <w:bCs/>
        <w:spacing w:val="-1"/>
        <w:sz w:val="18"/>
        <w:szCs w:val="18"/>
      </w:rPr>
      <w:t>3</w:t>
    </w:r>
    <w:r>
      <w:rPr>
        <w:rFonts w:ascii="Times New Roman" w:hAnsi="Times New Roman" w:eastAsia="Times New Roman" w:cs="Times New Roman"/>
        <w:b/>
        <w:bCs/>
        <w:spacing w:val="2"/>
        <w:sz w:val="18"/>
        <w:szCs w:val="18"/>
      </w:rPr>
      <w:t xml:space="preserve"> </w:t>
    </w:r>
    <w:r>
      <w:rPr>
        <w:rFonts w:ascii="Times New Roman" w:hAnsi="Times New Roman" w:eastAsia="Times New Roman" w:cs="Times New Roman"/>
        <w:spacing w:val="-1"/>
        <w:sz w:val="18"/>
        <w:szCs w:val="18"/>
      </w:rPr>
      <w:t>/</w:t>
    </w:r>
    <w:r>
      <w:rPr>
        <w:rFonts w:ascii="Times New Roman" w:hAnsi="Times New Roman" w:eastAsia="Times New Roman" w:cs="Times New Roman"/>
        <w:spacing w:val="5"/>
        <w:sz w:val="18"/>
        <w:szCs w:val="18"/>
      </w:rPr>
      <w:t xml:space="preserve"> </w:t>
    </w:r>
    <w:r>
      <w:rPr>
        <w:rFonts w:ascii="Times New Roman" w:hAnsi="Times New Roman" w:eastAsia="Times New Roman" w:cs="Times New Roman"/>
        <w:spacing w:val="-1"/>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E399A">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956345"/>
    <w:rsid w:val="21A947A3"/>
    <w:rsid w:val="2D9563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24"/>
      <w:szCs w:val="24"/>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仿宋" w:hAnsi="仿宋" w:eastAsia="仿宋" w:cs="仿宋"/>
      <w:sz w:val="24"/>
      <w:szCs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2605</Words>
  <Characters>2671</Characters>
  <Lines>0</Lines>
  <Paragraphs>0</Paragraphs>
  <TotalTime>8</TotalTime>
  <ScaleCrop>false</ScaleCrop>
  <LinksUpToDate>false</LinksUpToDate>
  <CharactersWithSpaces>2735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2025-10-20T00:44:00Z</dcterms:created>
  <dc:creator>高鹏</dc:creator>
  <cp:lastModifiedBy>高鹏</cp:lastModifiedBy>
  <dcterms:modified xsi:type="dcterms:W3CDTF">2025-10-20T03:22:28Z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B44E431BD4B74277BAF7B3A4467B2DBC_11</vt:lpwstr>
  </property>
  <property fmtid="{D5CDD505-2E9C-101B-9397-08002B2CF9AE}" pid="4" name="KSOTemplateDocerSaveRecord">
    <vt:lpwstr>eyJoZGlkIjoiNTI0ODMxMDI5ODUwY2VmMjVmNjliZTY2MmE1YjE3YjIiLCJ1c2VySWQiOiIzMzQzMjYyMDAifQ==</vt:lpwstr>
  </property>
</Properties>
</file>