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D3E387">
      <w:pPr>
        <w:jc w:val="center"/>
        <w:rPr>
          <w:rFonts w:hint="eastAsia" w:ascii="方正小标宋_GBK" w:eastAsia="方正小标宋_GBK"/>
          <w:sz w:val="44"/>
          <w:szCs w:val="44"/>
        </w:rPr>
      </w:pPr>
    </w:p>
    <w:tbl>
      <w:tblPr>
        <w:tblStyle w:val="5"/>
        <w:tblW w:w="1419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49"/>
        <w:gridCol w:w="851"/>
        <w:gridCol w:w="425"/>
        <w:gridCol w:w="755"/>
        <w:gridCol w:w="379"/>
        <w:gridCol w:w="1161"/>
        <w:gridCol w:w="257"/>
        <w:gridCol w:w="1043"/>
        <w:gridCol w:w="232"/>
        <w:gridCol w:w="1428"/>
        <w:gridCol w:w="415"/>
        <w:gridCol w:w="725"/>
        <w:gridCol w:w="551"/>
        <w:gridCol w:w="789"/>
        <w:gridCol w:w="1360"/>
        <w:gridCol w:w="2670"/>
      </w:tblGrid>
      <w:tr w14:paraId="538AF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AA1B39"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附</w:t>
            </w:r>
            <w:r>
              <w:rPr>
                <w:rFonts w:hint="eastAsia" w:ascii="Times New Roman" w:hAnsi="Times New Roman" w:eastAsia="方正黑体_GBK" w:cs="Times New Roman"/>
                <w:color w:val="000000"/>
                <w:kern w:val="0"/>
                <w:sz w:val="28"/>
                <w:szCs w:val="28"/>
                <w:lang w:eastAsia="zh-CN"/>
              </w:rPr>
              <w:t>件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5D70E8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F1580B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387D6E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FC7DC2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375E68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9BCE71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70365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AC2ABF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94520C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</w:tc>
      </w:tr>
      <w:tr w14:paraId="75964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419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7AB9FC">
            <w:pPr>
              <w:widowControl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44"/>
                <w:szCs w:val="44"/>
              </w:rPr>
            </w:pPr>
            <w:r>
              <w:rPr>
                <w:rFonts w:hint="default" w:ascii="Times New Roman" w:hAnsi="Times New Roman" w:eastAsia="方正小标宋_GBK" w:cs="Times New Roman"/>
                <w:kern w:val="0"/>
                <w:sz w:val="44"/>
                <w:szCs w:val="44"/>
              </w:rPr>
              <w:t>储粮熏蒸作业备案表</w:t>
            </w:r>
          </w:p>
        </w:tc>
      </w:tr>
      <w:tr w14:paraId="263D8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9EEAE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单位：</w:t>
            </w:r>
          </w:p>
        </w:tc>
        <w:tc>
          <w:tcPr>
            <w:tcW w:w="51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DFC0BB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F4EFF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申请日期：</w:t>
            </w:r>
          </w:p>
        </w:tc>
        <w:tc>
          <w:tcPr>
            <w:tcW w:w="60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D0028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43D4E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9644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熏蒸作业库点</w:t>
            </w:r>
          </w:p>
        </w:tc>
        <w:tc>
          <w:tcPr>
            <w:tcW w:w="241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37281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3065F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库点负责人</w:t>
            </w:r>
          </w:p>
        </w:tc>
        <w:tc>
          <w:tcPr>
            <w:tcW w:w="127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27B51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63926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联系电话</w:t>
            </w:r>
          </w:p>
        </w:tc>
        <w:tc>
          <w:tcPr>
            <w:tcW w:w="206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7799C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9638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  <w:t>计划熏蒸时间</w:t>
            </w:r>
          </w:p>
        </w:tc>
        <w:tc>
          <w:tcPr>
            <w:tcW w:w="26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88E98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  <w:t>　</w:t>
            </w:r>
          </w:p>
        </w:tc>
      </w:tr>
      <w:tr w14:paraId="1FCC7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F43C4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熏蒸作业人员信息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34A6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1C05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职务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41D8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职业资质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B22B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身体状况</w:t>
            </w:r>
          </w:p>
        </w:tc>
        <w:tc>
          <w:tcPr>
            <w:tcW w:w="3119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81D55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熏蒸任务分工</w:t>
            </w:r>
          </w:p>
        </w:tc>
        <w:tc>
          <w:tcPr>
            <w:tcW w:w="48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94A1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是否为外请</w:t>
            </w:r>
          </w:p>
        </w:tc>
      </w:tr>
      <w:tr w14:paraId="5DFB4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B26FA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29D85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0965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661C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C3ED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3119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F4E39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48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62351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69EE2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2217B5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8D3B4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D89E7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777C6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14C1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3119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DA7B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48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3897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1288A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2D081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7959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1934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60F04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993D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3119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44EF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48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C62C9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1236A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8023D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药剂信息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D0517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药剂名称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2192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类型/型号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4CDE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有效期至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B525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领取数量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A67F2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领取时间</w:t>
            </w:r>
          </w:p>
        </w:tc>
        <w:tc>
          <w:tcPr>
            <w:tcW w:w="609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C9A6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施药设备及方式</w:t>
            </w:r>
          </w:p>
        </w:tc>
      </w:tr>
      <w:tr w14:paraId="20AB6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DCE58B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E3731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6751F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A1B2E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277C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A875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609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32EEE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5A0AF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862BA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CA29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暂存地点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3F3E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D154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领取人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9B76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9714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施药量(kg)</w:t>
            </w:r>
          </w:p>
        </w:tc>
        <w:tc>
          <w:tcPr>
            <w:tcW w:w="609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C0015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4F631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149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FFF6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药剂残渣处理方案</w:t>
            </w:r>
          </w:p>
        </w:tc>
        <w:tc>
          <w:tcPr>
            <w:tcW w:w="13041" w:type="dxa"/>
            <w:gridSpan w:val="1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02DD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591B2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49" w:type="dxa"/>
            <w:gridSpan w:val="2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23BA9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熏蒸对象信息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B56A6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仓号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3E59E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粮食品种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53C6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粮食数量（吨）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7BFA9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堆装方式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F287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当前害虫及密度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354F1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入仓时间</w:t>
            </w:r>
          </w:p>
        </w:tc>
        <w:tc>
          <w:tcPr>
            <w:tcW w:w="537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39547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上次熏蒸时间</w:t>
            </w:r>
          </w:p>
        </w:tc>
      </w:tr>
      <w:tr w14:paraId="26E17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149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99A339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4D89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3CC0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26775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2338B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232B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7F272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537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121C4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</w:tr>
      <w:tr w14:paraId="0A4A0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49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91980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警戒距离（米）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0534A9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东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C5A058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075FEE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南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F6B1A83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B941D7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西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F15072C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8386AA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北</w:t>
            </w:r>
          </w:p>
        </w:tc>
        <w:tc>
          <w:tcPr>
            <w:tcW w:w="4030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916D05"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  <w:t>　</w:t>
            </w:r>
          </w:p>
        </w:tc>
      </w:tr>
      <w:tr w14:paraId="645C8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19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0AAFE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注：备案时，粮油仓储单位须同时报送储粮熏蒸作业方案。</w:t>
            </w:r>
          </w:p>
        </w:tc>
      </w:tr>
      <w:tr w14:paraId="0E71C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0D876B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  <w:p w14:paraId="51344AD4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FC211E">
            <w:pPr>
              <w:widowControl/>
              <w:jc w:val="righ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填表人：</w:t>
            </w:r>
          </w:p>
        </w:tc>
        <w:tc>
          <w:tcPr>
            <w:tcW w:w="2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7885EA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8491BD">
            <w:pPr>
              <w:widowControl/>
              <w:jc w:val="righ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联系电话：</w:t>
            </w:r>
          </w:p>
        </w:tc>
        <w:tc>
          <w:tcPr>
            <w:tcW w:w="2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000053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　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7FC5B">
            <w:pPr>
              <w:widowControl/>
              <w:jc w:val="right"/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</w:rPr>
              <w:t>电子邮箱：</w:t>
            </w:r>
          </w:p>
        </w:tc>
        <w:tc>
          <w:tcPr>
            <w:tcW w:w="4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09C096">
            <w:pPr>
              <w:widowControl/>
              <w:jc w:val="left"/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szCs w:val="20"/>
              </w:rPr>
              <w:t>　</w:t>
            </w:r>
          </w:p>
        </w:tc>
      </w:tr>
    </w:tbl>
    <w:p w14:paraId="7A16C89F">
      <w:pPr>
        <w:spacing w:line="580" w:lineRule="exact"/>
        <w:rPr>
          <w:rFonts w:hint="default" w:ascii="Times New Roman" w:hAnsi="Times New Roman" w:eastAsia="方正仿宋_GBK" w:cs="Times New Roman"/>
          <w:sz w:val="32"/>
          <w:szCs w:val="32"/>
        </w:rPr>
        <w:sectPr>
          <w:footerReference r:id="rId3" w:type="default"/>
          <w:pgSz w:w="16838" w:h="11906" w:orient="landscape"/>
          <w:pgMar w:top="1021" w:right="1191" w:bottom="1021" w:left="1191" w:header="851" w:footer="992" w:gutter="0"/>
          <w:cols w:space="425" w:num="1"/>
          <w:docGrid w:linePitch="312" w:charSpace="0"/>
        </w:sectPr>
      </w:pPr>
    </w:p>
    <w:p w14:paraId="757B22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color w:val="000000"/>
          <w:kern w:val="0"/>
          <w:sz w:val="28"/>
          <w:szCs w:val="28"/>
        </w:rPr>
      </w:pPr>
      <w:r>
        <w:rPr>
          <w:rFonts w:hint="default" w:ascii="Times New Roman" w:hAnsi="Times New Roman" w:eastAsia="方正黑体_GBK" w:cs="Times New Roman"/>
          <w:color w:val="000000"/>
          <w:kern w:val="0"/>
          <w:sz w:val="28"/>
          <w:szCs w:val="28"/>
        </w:rPr>
        <w:t>附</w:t>
      </w:r>
      <w:r>
        <w:rPr>
          <w:rFonts w:hint="eastAsia" w:ascii="Times New Roman" w:hAnsi="Times New Roman" w:eastAsia="方正黑体_GBK" w:cs="Times New Roman"/>
          <w:color w:val="000000"/>
          <w:kern w:val="0"/>
          <w:sz w:val="28"/>
          <w:szCs w:val="28"/>
          <w:lang w:eastAsia="zh-CN"/>
        </w:rPr>
        <w:t>件</w:t>
      </w:r>
      <w:r>
        <w:rPr>
          <w:rFonts w:hint="default" w:ascii="Times New Roman" w:hAnsi="Times New Roman" w:eastAsia="方正黑体_GBK" w:cs="Times New Roman"/>
          <w:color w:val="000000"/>
          <w:kern w:val="0"/>
          <w:sz w:val="28"/>
          <w:szCs w:val="28"/>
        </w:rPr>
        <w:t>2</w:t>
      </w:r>
    </w:p>
    <w:p w14:paraId="1EF2E5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方正小标宋_GBK" w:cs="Times New Roman"/>
          <w:sz w:val="24"/>
          <w:szCs w:val="2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</w:t>
      </w:r>
      <w:r>
        <w:rPr>
          <w:rFonts w:hint="default" w:ascii="Times New Roman" w:hAnsi="Times New Roman" w:eastAsia="方正小标宋_GBK" w:cs="Times New Roman"/>
          <w:sz w:val="24"/>
          <w:szCs w:val="24"/>
        </w:rPr>
        <w:t xml:space="preserve">                                                 </w:t>
      </w:r>
    </w:p>
    <w:p w14:paraId="0C3B11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***单位储粮熏蒸作业方案样本（试行）</w:t>
      </w:r>
    </w:p>
    <w:p w14:paraId="177B00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</w:p>
    <w:p w14:paraId="1A7060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为了规范储粮熏蒸作业行为，防范熏蒸作业事故，依据《储粮化学药剂管理和使用规范》《磷化氢熏蒸技术规程》《江苏省储粮熏蒸作业备案管理办法》等规定，结合我单位实际情况，现制定本实施方案。</w:t>
      </w:r>
    </w:p>
    <w:p w14:paraId="184A1D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1.作业基本信息</w:t>
      </w:r>
    </w:p>
    <w:p w14:paraId="455593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（1）熏蒸作业地点：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               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</w:t>
      </w:r>
    </w:p>
    <w:p w14:paraId="2B5B3F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（2）熏蒸作业起止时间：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时起，至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时止。如遇大风雷雨等特殊天气或未按时实施熏蒸作业时，应在计划熏蒸截止日后向备案机关书面报告未实施的原因。</w:t>
      </w:r>
    </w:p>
    <w:p w14:paraId="4DEB48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（3）熏蒸作业负责人：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联系人：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联系方式：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  <w:t>。</w:t>
      </w:r>
    </w:p>
    <w:p w14:paraId="10E0E3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2.熏蒸作业仓房情况</w:t>
      </w:r>
    </w:p>
    <w:p w14:paraId="2B4391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143" w:leftChars="-68"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该仓房类型为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，墙体为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结构，仓顶为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，内长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米，内宽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米，顶高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米，装粮线高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米，设计仓容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吨，空间体积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立方米。门窗密闭性能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（良好），配备有         </w:t>
      </w:r>
    </w:p>
    <w:p w14:paraId="38CE6D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143" w:leftChars="-68" w:firstLine="1"/>
        <w:textAlignment w:val="auto"/>
        <w:rPr>
          <w:rFonts w:hint="default" w:ascii="Times New Roman" w:hAnsi="Times New Roman" w:eastAsia="方正仿宋_GBK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（机械通风，环流熏蒸）设施，与周边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（居住区、办公区）的安全距离符合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LS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1212要求。</w:t>
      </w:r>
    </w:p>
    <w:p w14:paraId="755378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3.熏蒸作业仓的粮情</w:t>
      </w:r>
    </w:p>
    <w:p w14:paraId="50E378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号仓储存性质是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，品种为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， 数量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吨，水分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%， 杂质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%，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日入库，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堆放，粮温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度，仓温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度，仓内湿度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日检查发现已感染害虫，其密度为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头/公斤，主要害虫为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4E4175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实施熏蒸作业时的天气预报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（多云转晴，23~37℃）。</w:t>
      </w:r>
    </w:p>
    <w:p w14:paraId="2E1093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 xml:space="preserve"> 4.熏蒸药剂情况</w:t>
      </w:r>
    </w:p>
    <w:p w14:paraId="7CC8CC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该仓熏蒸使用药剂为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，剂型（粉剂、片剂），纯度为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%，采取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（环流、常规 “三低”）熏蒸方法，施药方式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（粮面施药及其他方式），根据《常用储粮化学药剂及使用方法》规定，空间按每m</w:t>
      </w:r>
      <w:r>
        <w:rPr>
          <w:rFonts w:hint="default" w:ascii="Times New Roman" w:hAnsi="Times New Roman" w:eastAsia="宋体" w:cs="Times New Roman"/>
          <w:sz w:val="32"/>
          <w:szCs w:val="32"/>
        </w:rPr>
        <w:t>³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g计算，粮堆按每m</w:t>
      </w:r>
      <w:r>
        <w:rPr>
          <w:rFonts w:hint="default" w:ascii="Times New Roman" w:hAnsi="Times New Roman" w:eastAsia="宋体" w:cs="Times New Roman"/>
          <w:sz w:val="32"/>
          <w:szCs w:val="32"/>
        </w:rPr>
        <w:t>³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g计算，共需要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kg，药剂从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药剂库领取。</w:t>
      </w:r>
    </w:p>
    <w:p w14:paraId="4C3DC9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5.作业人员任务分工</w:t>
      </w:r>
    </w:p>
    <w:p w14:paraId="357E1B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指挥员：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组织和指导施药熏蒸作业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eastAsia="zh-CN"/>
        </w:rPr>
        <w:t>。</w:t>
      </w:r>
    </w:p>
    <w:p w14:paraId="60BBD5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操作员：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负责投药。操作人员经过专业技术培训，具有相应职业资格，了解药剂性能，掌握施药技术和空气呼吸器使用方法，且身体良好。操作人员每次不得超过30分钟，每天累计不得超过1小时。</w:t>
      </w:r>
    </w:p>
    <w:p w14:paraId="10E71C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防护员：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负责人员安全、防火安全。</w:t>
      </w:r>
    </w:p>
    <w:p w14:paraId="0799FEA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6.熏蒸效果预测及防止药剂残留措施</w:t>
      </w:r>
    </w:p>
    <w:p w14:paraId="09A4DF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首次环流系统开机不小于48小时，以后每天开机2小时至检检测气体浓度基本均匀为止，保持浓度在100-300mL/m</w:t>
      </w:r>
      <w:r>
        <w:rPr>
          <w:rFonts w:hint="default" w:ascii="Times New Roman" w:hAnsi="Times New Roman" w:eastAsia="方正仿宋_GBK" w:cs="Times New Roman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（强抗药性虫种浓度设定400mL/m</w:t>
      </w:r>
      <w:r>
        <w:rPr>
          <w:rFonts w:hint="default" w:ascii="Times New Roman" w:hAnsi="Times New Roman" w:eastAsia="方正仿宋_GBK" w:cs="Times New Roman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）的情况下达到100%的杀虫效果；施药时不得泼洒，严禁药剂与粮食直接接触，及时收拾药剂残渣和空瓶，采取委托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（有资质单位或供货商）方式进行无害化处理。</w:t>
      </w:r>
    </w:p>
    <w:p w14:paraId="19763A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7.安全防护措施</w:t>
      </w:r>
    </w:p>
    <w:p w14:paraId="6B1F99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（1）熏蒸前。应检查仓库门窗密闭是否完好，地上笼通风口关闭、室外管道连接是否可靠，环流风机、磷化氢检测仪是否正常，空气呼吸器、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《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呼吸防护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自吸过滤式防毒面具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》（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GB2890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要求的防毒面具是否安全有效，灭火器具和中毒急救用品是否配备，仓内电源是否切断。作业现场负责人组织作业人员需认真观看事故案例警示教育片，进行培训交底，并做好培训记录和考核，作业人员应在安全交底或安全生产作业承诺书上签字。</w:t>
      </w:r>
    </w:p>
    <w:p w14:paraId="5915EB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（2）熏蒸时。作业人员必须佩戴空气呼吸器，穿工作服，戴橡胶手套，禁止吸烟、喝水、进食。从开始施药到处理完药剂残渣期间，在粮仓四周设立警戒线，距离粮仓至少20米，并设置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“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熏蒸有毒，禁止靠近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”“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禁止入内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”“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有毒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”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等警示标识，防止非操作人员靠近。在投药后24小时内安排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名值班人员，检查施药仓房有无漏气、冒烟、燃爆等现象，值班人员应了解储粮化学药剂安全使用知识并备有防毒面具、消防器材和报警联络设备。</w:t>
      </w:r>
    </w:p>
    <w:p w14:paraId="19CA5E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（3）熏蒸后。散气应从仓房外部开启门窗，先开启下风方向的门窗，后开启上风方向的门窗。采用机械通风散气，散气时间一般为3-5天，采用自然通风散气，散气时间一般为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天。散气后，仓内磷化氢浓度降到0.2mL/m</w:t>
      </w:r>
      <w:r>
        <w:rPr>
          <w:rFonts w:hint="default" w:ascii="Times New Roman" w:hAnsi="Times New Roman" w:eastAsia="方正仿宋_GBK" w:cs="Times New Roman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以下时，人员方可进仓。</w:t>
      </w:r>
    </w:p>
    <w:p w14:paraId="5C2381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8.应急处置预案情况</w:t>
      </w:r>
    </w:p>
    <w:p w14:paraId="2FF647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（1）熏蒸过程应对施药装置、环流装置进行磷化氢检测，如发现泄漏，人员应立即撤离，限制出入。应急处理人员戴空气呼吸器，穿防毒服，采取切断电源、泄漏源，进行修复等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措施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3A46BF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（2）熏蒸期间应对工作环境进行磷化氢检测，当环境中磷化氢浓度超过0.2mL/m</w:t>
      </w:r>
      <w:r>
        <w:rPr>
          <w:rFonts w:hint="default" w:ascii="Times New Roman" w:hAnsi="Times New Roman" w:eastAsia="方正仿宋_GBK" w:cs="Times New Roman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时，应迅速撤离泄漏污染区人员至上风处，并立即隔离，严格限制出入。</w:t>
      </w:r>
    </w:p>
    <w:p w14:paraId="3D365F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（3）磷化铝熏蒸发生燃爆事故时，消防人员必须佩戴防毒面具或空气呼吸器、穿全身防火防毒服，在上风向采用干沙覆盖灭火，或用干粉灭火器灭火，严禁用水浇、泡沫和酸式灭火剂灭火。</w:t>
      </w:r>
    </w:p>
    <w:p w14:paraId="306AEF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4）施药人员熏蒸过程中如有头昏、刺眼、流泪、乏力、口渴、胸闷、恶心、咳嗽等不适应感觉时，应立即停止作业，退出现场，到上风方向取下面具，脱去工作服，并适当休息。中毒较重者应进行氧气吸入抢救，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拨打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</w:rPr>
        <w:t>120救护电话。</w:t>
      </w:r>
    </w:p>
    <w:p w14:paraId="629E0F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9.粮库负责人审核意见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p w14:paraId="306892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810" w:leftChars="100" w:hanging="5600" w:hangingChars="1750"/>
        <w:jc w:val="lef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                             单位（盖章）：                                                    年 月 日</w:t>
      </w:r>
    </w:p>
    <w:sectPr>
      <w:footerReference r:id="rId4" w:type="default"/>
      <w:pgSz w:w="11906" w:h="16838"/>
      <w:pgMar w:top="1985" w:right="1474" w:bottom="1758" w:left="1588" w:header="851" w:footer="992" w:gutter="11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7459046"/>
      <w:docPartObj>
        <w:docPartGallery w:val="autotext"/>
      </w:docPartObj>
    </w:sdtPr>
    <w:sdtContent>
      <w:p w14:paraId="16C6D9A4">
        <w:pPr>
          <w:pStyle w:val="3"/>
          <w:jc w:val="center"/>
        </w:pPr>
        <w:r>
          <w:rPr>
            <w:rFonts w:hint="eastAsia" w:ascii="Times New Roman" w:hAnsi="Times New Roman" w:cs="Times New Roman"/>
            <w:sz w:val="28"/>
            <w:szCs w:val="28"/>
          </w:rPr>
          <w:t xml:space="preserve">-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5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-</w:t>
        </w:r>
      </w:p>
    </w:sdtContent>
  </w:sdt>
  <w:p w14:paraId="1E3F2FA4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40512379"/>
      <w:docPartObj>
        <w:docPartGallery w:val="autotext"/>
      </w:docPartObj>
    </w:sdtPr>
    <w:sdtContent>
      <w:p w14:paraId="1EB5C765">
        <w:pPr>
          <w:pStyle w:val="3"/>
          <w:jc w:val="center"/>
        </w:pPr>
        <w:r>
          <w:rPr>
            <w:rFonts w:hint="eastAsia"/>
          </w:rPr>
          <w:t>—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10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 w14:paraId="0903B45D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4YjJmZDQ2ZjMzOWMzNDcwZjliMGQ5OTljMTA5ZjkifQ=="/>
  </w:docVars>
  <w:rsids>
    <w:rsidRoot w:val="009947C5"/>
    <w:rsid w:val="00132FF1"/>
    <w:rsid w:val="001801A5"/>
    <w:rsid w:val="001A2748"/>
    <w:rsid w:val="0022433C"/>
    <w:rsid w:val="002478C7"/>
    <w:rsid w:val="00253207"/>
    <w:rsid w:val="002F680E"/>
    <w:rsid w:val="00304200"/>
    <w:rsid w:val="0030763C"/>
    <w:rsid w:val="00333ABD"/>
    <w:rsid w:val="00427AE2"/>
    <w:rsid w:val="00467BDA"/>
    <w:rsid w:val="00467F46"/>
    <w:rsid w:val="00477BDA"/>
    <w:rsid w:val="00490D5E"/>
    <w:rsid w:val="005A4204"/>
    <w:rsid w:val="005D0940"/>
    <w:rsid w:val="005D1E02"/>
    <w:rsid w:val="00651852"/>
    <w:rsid w:val="006960AA"/>
    <w:rsid w:val="006B1677"/>
    <w:rsid w:val="006E0611"/>
    <w:rsid w:val="007110E4"/>
    <w:rsid w:val="007259A3"/>
    <w:rsid w:val="00741064"/>
    <w:rsid w:val="007758CD"/>
    <w:rsid w:val="00796581"/>
    <w:rsid w:val="007C64CE"/>
    <w:rsid w:val="007D7C27"/>
    <w:rsid w:val="007E724B"/>
    <w:rsid w:val="00804B91"/>
    <w:rsid w:val="008435FC"/>
    <w:rsid w:val="008517D3"/>
    <w:rsid w:val="00871BEE"/>
    <w:rsid w:val="00874473"/>
    <w:rsid w:val="008A0326"/>
    <w:rsid w:val="008A0BC6"/>
    <w:rsid w:val="008C50C9"/>
    <w:rsid w:val="00910379"/>
    <w:rsid w:val="0091088C"/>
    <w:rsid w:val="009244D0"/>
    <w:rsid w:val="00951DB9"/>
    <w:rsid w:val="009777F4"/>
    <w:rsid w:val="009947C5"/>
    <w:rsid w:val="00A04ABE"/>
    <w:rsid w:val="00A32960"/>
    <w:rsid w:val="00A9505C"/>
    <w:rsid w:val="00AB61AA"/>
    <w:rsid w:val="00AD0C30"/>
    <w:rsid w:val="00AD0C4D"/>
    <w:rsid w:val="00AE1358"/>
    <w:rsid w:val="00AE63C5"/>
    <w:rsid w:val="00AF15EE"/>
    <w:rsid w:val="00B02E1E"/>
    <w:rsid w:val="00B13CCD"/>
    <w:rsid w:val="00B17D69"/>
    <w:rsid w:val="00B32D28"/>
    <w:rsid w:val="00BC10F4"/>
    <w:rsid w:val="00C0781D"/>
    <w:rsid w:val="00C53D6E"/>
    <w:rsid w:val="00C7098C"/>
    <w:rsid w:val="00C772FC"/>
    <w:rsid w:val="00C95339"/>
    <w:rsid w:val="00CE49F2"/>
    <w:rsid w:val="00D006FF"/>
    <w:rsid w:val="00D92349"/>
    <w:rsid w:val="00DC2BCA"/>
    <w:rsid w:val="00E2019F"/>
    <w:rsid w:val="00E343B3"/>
    <w:rsid w:val="00E575C4"/>
    <w:rsid w:val="00E648A7"/>
    <w:rsid w:val="00EA6EFD"/>
    <w:rsid w:val="00F21AF2"/>
    <w:rsid w:val="00F3239A"/>
    <w:rsid w:val="00FE6FA5"/>
    <w:rsid w:val="026A5837"/>
    <w:rsid w:val="15FC730C"/>
    <w:rsid w:val="1FC74A47"/>
    <w:rsid w:val="316E315D"/>
    <w:rsid w:val="3C114709"/>
    <w:rsid w:val="409D7A2C"/>
    <w:rsid w:val="5B5419A1"/>
    <w:rsid w:val="5DC81037"/>
    <w:rsid w:val="6D0A2001"/>
    <w:rsid w:val="6D5E2269"/>
    <w:rsid w:val="EFFD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1902</Words>
  <Characters>1978</Characters>
  <Lines>31</Lines>
  <Paragraphs>8</Paragraphs>
  <TotalTime>12</TotalTime>
  <ScaleCrop>false</ScaleCrop>
  <LinksUpToDate>false</LinksUpToDate>
  <CharactersWithSpaces>2509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2024-12-30T16:51:00Z</dcterms:created>
  <dc:creator>lishanliang</dc:creator>
  <cp:lastModifiedBy>Administrator</cp:lastModifiedBy>
  <cp:lastPrinted>2025-01-02T09:43:00Z</cp:lastPrinted>
  <dcterms:modified xsi:type="dcterms:W3CDTF">2025-12-17T08:38:06Z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eyJoZGlkIjoiNTkwZGRmYTNiNmU0NTc1MTUyMWQyYmEzNjE0YjJmMGIiLCJ1c2VySWQiOiI0MTkzMzgzODcifQ==</vt:lpwstr>
  </property>
  <property fmtid="{D5CDD505-2E9C-101B-9397-08002B2CF9AE}" pid="3" name="KSOProductBuildVer">
    <vt:lpwstr>2052-12.1.0.17827</vt:lpwstr>
  </property>
  <property fmtid="{D5CDD505-2E9C-101B-9397-08002B2CF9AE}" pid="4" name="ICV">
    <vt:lpwstr>8C369E30BC7A42A7AE6BADE0C78E1D66_12</vt:lpwstr>
  </property>
</Properties>
</file>