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4D563D">
      <w:pPr>
        <w:jc w:val="center"/>
        <w:rPr>
          <w:rFonts w:hint="eastAsia" w:ascii="宋体" w:hAnsi="宋体" w:cs="宋体"/>
          <w:b/>
          <w:bCs/>
          <w:color w:val="auto"/>
          <w:sz w:val="44"/>
          <w:szCs w:val="44"/>
          <w:lang w:val="en-US" w:eastAsia="zh-CN"/>
        </w:rPr>
      </w:pPr>
    </w:p>
    <w:p w14:paraId="004A98D8">
      <w:pPr>
        <w:jc w:val="center"/>
        <w:rPr>
          <w:rFonts w:hint="eastAsia" w:ascii="仿宋" w:hAnsi="仿宋" w:eastAsia="仿宋" w:cs="仿宋"/>
          <w:b/>
          <w:bCs/>
          <w:color w:val="auto"/>
          <w:sz w:val="44"/>
          <w:szCs w:val="44"/>
        </w:rPr>
      </w:pPr>
      <w:r>
        <w:rPr>
          <w:rFonts w:hint="eastAsia" w:ascii="仿宋" w:hAnsi="仿宋" w:eastAsia="仿宋" w:cs="仿宋"/>
          <w:b/>
          <w:bCs/>
          <w:color w:val="auto"/>
          <w:sz w:val="44"/>
          <w:szCs w:val="44"/>
          <w:lang w:val="en-US" w:eastAsia="zh-CN"/>
        </w:rPr>
        <w:t>小麦</w:t>
      </w:r>
      <w:r>
        <w:rPr>
          <w:rFonts w:hint="eastAsia" w:ascii="仿宋" w:hAnsi="仿宋" w:eastAsia="仿宋" w:cs="仿宋"/>
          <w:b/>
          <w:bCs/>
          <w:color w:val="auto"/>
          <w:sz w:val="44"/>
          <w:szCs w:val="44"/>
        </w:rPr>
        <w:t>购销合作合同</w:t>
      </w:r>
    </w:p>
    <w:p w14:paraId="77DBEACD">
      <w:pPr>
        <w:keepNext w:val="0"/>
        <w:keepLines w:val="0"/>
        <w:pageBreakBefore w:val="0"/>
        <w:widowControl/>
        <w:kinsoku/>
        <w:wordWrap/>
        <w:overflowPunct/>
        <w:topLinePunct w:val="0"/>
        <w:autoSpaceDE/>
        <w:autoSpaceDN/>
        <w:bidi w:val="0"/>
        <w:spacing w:line="590" w:lineRule="exact"/>
        <w:ind w:firstLine="5440" w:firstLineChars="1700"/>
        <w:jc w:val="left"/>
        <w:textAlignment w:val="auto"/>
        <w:rPr>
          <w:rFonts w:hint="eastAsia" w:ascii="方正仿宋_GBK" w:hAnsi="方正仿宋_GBK" w:eastAsia="方正仿宋_GBK" w:cs="方正仿宋_GBK"/>
          <w:color w:val="000000"/>
          <w:kern w:val="0"/>
          <w:sz w:val="32"/>
          <w:szCs w:val="32"/>
          <w:lang w:eastAsia="zh-CN" w:bidi="ar"/>
        </w:rPr>
      </w:pPr>
      <w:r>
        <w:rPr>
          <w:rFonts w:hint="eastAsia" w:ascii="仿宋" w:hAnsi="仿宋" w:eastAsia="仿宋" w:cs="仿宋"/>
          <w:color w:val="000000"/>
          <w:kern w:val="0"/>
          <w:sz w:val="32"/>
          <w:szCs w:val="32"/>
          <w:lang w:eastAsia="zh-CN" w:bidi="ar"/>
        </w:rPr>
        <w:t>合同编号</w:t>
      </w:r>
      <w:r>
        <w:rPr>
          <w:rFonts w:hint="eastAsia" w:ascii="方正仿宋_GBK" w:hAnsi="方正仿宋_GBK" w:eastAsia="方正仿宋_GBK" w:cs="方正仿宋_GBK"/>
          <w:color w:val="000000"/>
          <w:kern w:val="0"/>
          <w:sz w:val="32"/>
          <w:szCs w:val="32"/>
          <w:lang w:eastAsia="zh-CN" w:bidi="ar"/>
        </w:rPr>
        <w:t>：</w:t>
      </w:r>
    </w:p>
    <w:p w14:paraId="3EFA2944">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kern w:val="0"/>
          <w:sz w:val="32"/>
          <w:szCs w:val="32"/>
          <w:lang w:bidi="ar"/>
        </w:rPr>
      </w:pPr>
    </w:p>
    <w:p w14:paraId="6BB888D3">
      <w:pPr>
        <w:keepNext w:val="0"/>
        <w:keepLines w:val="0"/>
        <w:pageBreakBefore w:val="0"/>
        <w:widowControl/>
        <w:kinsoku/>
        <w:wordWrap/>
        <w:overflowPunct/>
        <w:topLinePunct w:val="0"/>
        <w:autoSpaceDE/>
        <w:autoSpaceDN/>
        <w:bidi w:val="0"/>
        <w:spacing w:line="590" w:lineRule="exact"/>
        <w:jc w:val="left"/>
        <w:textAlignment w:val="auto"/>
        <w:rPr>
          <w:rFonts w:hint="eastAsia" w:ascii="仿宋" w:hAnsi="仿宋" w:eastAsia="仿宋" w:cs="仿宋"/>
          <w:sz w:val="32"/>
          <w:szCs w:val="32"/>
          <w:highlight w:val="none"/>
          <w:u w:val="single"/>
          <w:lang w:val="en-US" w:eastAsia="zh-CN"/>
        </w:rPr>
      </w:pPr>
      <w:r>
        <w:rPr>
          <w:rFonts w:hint="eastAsia" w:ascii="仿宋" w:hAnsi="仿宋" w:eastAsia="仿宋" w:cs="仿宋"/>
          <w:color w:val="000000"/>
          <w:kern w:val="0"/>
          <w:sz w:val="32"/>
          <w:szCs w:val="32"/>
          <w:lang w:bidi="ar"/>
        </w:rPr>
        <w:t>甲方：</w:t>
      </w:r>
      <w:r>
        <w:rPr>
          <w:rFonts w:hint="eastAsia" w:ascii="仿宋" w:hAnsi="仿宋" w:eastAsia="仿宋" w:cs="仿宋"/>
          <w:color w:val="auto"/>
          <w:sz w:val="32"/>
          <w:szCs w:val="32"/>
          <w:u w:val="single"/>
          <w:lang w:eastAsia="zh-CN"/>
        </w:rPr>
        <w:t>淮安市</w:t>
      </w:r>
      <w:r>
        <w:rPr>
          <w:rFonts w:hint="eastAsia" w:ascii="仿宋" w:hAnsi="仿宋" w:eastAsia="仿宋" w:cs="仿宋"/>
          <w:color w:val="auto"/>
          <w:sz w:val="32"/>
          <w:szCs w:val="32"/>
          <w:u w:val="single"/>
          <w:lang w:val="en-US" w:eastAsia="zh-CN"/>
        </w:rPr>
        <w:t>淮安区储备粮管理</w:t>
      </w:r>
      <w:r>
        <w:rPr>
          <w:rFonts w:hint="eastAsia" w:ascii="仿宋" w:hAnsi="仿宋" w:eastAsia="仿宋" w:cs="仿宋"/>
          <w:color w:val="auto"/>
          <w:sz w:val="32"/>
          <w:szCs w:val="32"/>
          <w:u w:val="single"/>
          <w:lang w:eastAsia="zh-CN"/>
        </w:rPr>
        <w:t>有限公司</w:t>
      </w:r>
      <w:r>
        <w:rPr>
          <w:rFonts w:hint="eastAsia" w:ascii="仿宋" w:hAnsi="仿宋" w:eastAsia="仿宋" w:cs="仿宋"/>
          <w:color w:val="000000" w:themeColor="text1"/>
          <w:sz w:val="32"/>
          <w:szCs w:val="32"/>
          <w14:textFill>
            <w14:solidFill>
              <w14:schemeClr w14:val="tx1"/>
            </w14:solidFill>
          </w14:textFill>
        </w:rPr>
        <w:t>（以下简称甲方）</w:t>
      </w:r>
    </w:p>
    <w:p w14:paraId="561822F0">
      <w:pPr>
        <w:keepNext w:val="0"/>
        <w:keepLines w:val="0"/>
        <w:pageBreakBefore w:val="0"/>
        <w:widowControl/>
        <w:kinsoku/>
        <w:wordWrap/>
        <w:overflowPunct/>
        <w:topLinePunct w:val="0"/>
        <w:autoSpaceDE/>
        <w:autoSpaceDN/>
        <w:bidi w:val="0"/>
        <w:spacing w:line="590" w:lineRule="exact"/>
        <w:jc w:val="left"/>
        <w:textAlignment w:val="auto"/>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乙方：</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 xml:space="preserve">  </w:t>
      </w:r>
      <w:r>
        <w:rPr>
          <w:rFonts w:hint="eastAsia" w:ascii="仿宋" w:hAnsi="仿宋" w:eastAsia="仿宋" w:cs="仿宋"/>
          <w:color w:val="000000" w:themeColor="text1"/>
          <w:sz w:val="32"/>
          <w:szCs w:val="32"/>
          <w14:textFill>
            <w14:solidFill>
              <w14:schemeClr w14:val="tx1"/>
            </w14:solidFill>
          </w14:textFill>
        </w:rPr>
        <w:t>（以下简称乙方）</w:t>
      </w:r>
      <w:r>
        <w:rPr>
          <w:rFonts w:hint="eastAsia" w:ascii="仿宋" w:hAnsi="仿宋" w:eastAsia="仿宋" w:cs="仿宋"/>
          <w:color w:val="000000"/>
          <w:kern w:val="0"/>
          <w:sz w:val="32"/>
          <w:szCs w:val="32"/>
          <w:lang w:bidi="ar"/>
        </w:rPr>
        <w:t xml:space="preserve"> </w:t>
      </w:r>
    </w:p>
    <w:p w14:paraId="1402B2FC">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为充分发挥各自优势，合理配置粮源，依据江苏粮油商品交易市场（以下简称江苏市场）2025年5月28日竞价结果，就甲方与乙方合作组织收购2025年产小麦</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2650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vertAlign w:val="baseline"/>
          <w:lang w:val="en-US" w:eastAsia="zh-CN"/>
        </w:rPr>
        <w:t>吨，同时由乙方根据甲方的出库时间要求负责全部回购，达成以下协议：</w:t>
      </w:r>
    </w:p>
    <w:p w14:paraId="0CFE2DB4">
      <w:pPr>
        <w:keepNext w:val="0"/>
        <w:keepLines w:val="0"/>
        <w:pageBreakBefore w:val="0"/>
        <w:numPr>
          <w:ilvl w:val="0"/>
          <w:numId w:val="0"/>
        </w:numPr>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一、甲方与乙方合作组织收购</w:t>
      </w:r>
      <w:r>
        <w:rPr>
          <w:rFonts w:hint="eastAsia" w:ascii="仿宋" w:hAnsi="仿宋" w:eastAsia="仿宋" w:cs="仿宋"/>
          <w:sz w:val="32"/>
          <w:szCs w:val="32"/>
          <w:lang w:val="en-US" w:eastAsia="zh-CN"/>
        </w:rPr>
        <w:t>2025年产小麦</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2650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lang w:val="en-US" w:eastAsia="zh-CN"/>
        </w:rPr>
        <w:t>吨</w:t>
      </w:r>
    </w:p>
    <w:p w14:paraId="592A6928">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1.入库时间：在 2025年7月20日前完成入库粮食累计</w:t>
      </w:r>
      <w:r>
        <w:rPr>
          <w:rFonts w:hint="eastAsia" w:ascii="仿宋" w:hAnsi="仿宋" w:eastAsia="仿宋" w:cs="仿宋"/>
          <w:color w:val="000000"/>
          <w:kern w:val="0"/>
          <w:sz w:val="32"/>
          <w:szCs w:val="32"/>
          <w:u w:val="single"/>
          <w:lang w:val="en-US" w:eastAsia="zh-CN" w:bidi="ar"/>
        </w:rPr>
        <w:t>2650</w:t>
      </w:r>
      <w:r>
        <w:rPr>
          <w:rFonts w:hint="eastAsia" w:ascii="仿宋" w:hAnsi="仿宋" w:eastAsia="仿宋" w:cs="仿宋"/>
          <w:sz w:val="32"/>
          <w:szCs w:val="32"/>
          <w:vertAlign w:val="baseline"/>
          <w:lang w:val="en-US" w:eastAsia="zh-CN"/>
        </w:rPr>
        <w:t>吨。</w:t>
      </w:r>
    </w:p>
    <w:p w14:paraId="67EFB686">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2.交货地点：</w:t>
      </w:r>
      <w:r>
        <w:rPr>
          <w:rFonts w:hint="eastAsia" w:ascii="Times New Roman" w:hAnsi="Times New Roman" w:eastAsia="仿宋_GB2312" w:cs="Times New Roman"/>
          <w:sz w:val="32"/>
          <w:szCs w:val="32"/>
          <w:vertAlign w:val="baseline"/>
          <w:lang w:val="en-US" w:eastAsia="zh-CN"/>
        </w:rPr>
        <w:t>淮安市</w:t>
      </w:r>
      <w:r>
        <w:rPr>
          <w:rFonts w:hint="eastAsia" w:eastAsia="仿宋_GB2312" w:cs="Times New Roman"/>
          <w:sz w:val="32"/>
          <w:szCs w:val="32"/>
          <w:vertAlign w:val="baseline"/>
          <w:lang w:val="en-US" w:eastAsia="zh-CN"/>
        </w:rPr>
        <w:t>淮安区储备粮管理</w:t>
      </w:r>
      <w:r>
        <w:rPr>
          <w:rFonts w:hint="eastAsia" w:ascii="Times New Roman" w:hAnsi="Times New Roman" w:eastAsia="仿宋_GB2312" w:cs="Times New Roman"/>
          <w:sz w:val="32"/>
          <w:szCs w:val="32"/>
          <w:vertAlign w:val="baseline"/>
          <w:lang w:val="en-US" w:eastAsia="zh-CN"/>
        </w:rPr>
        <w:t>有限公司</w:t>
      </w:r>
      <w:r>
        <w:rPr>
          <w:rFonts w:hint="eastAsia" w:ascii="仿宋" w:hAnsi="仿宋" w:eastAsia="仿宋" w:cs="仿宋"/>
          <w:sz w:val="32"/>
          <w:szCs w:val="32"/>
          <w:vertAlign w:val="baseline"/>
          <w:lang w:val="en-US" w:eastAsia="zh-CN"/>
        </w:rPr>
        <w:t>。</w:t>
      </w:r>
    </w:p>
    <w:p w14:paraId="2D7F3435">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3.入库价格：采购固定价 2460元/吨。</w:t>
      </w:r>
    </w:p>
    <w:p w14:paraId="65133FE3">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4.入库方式：由乙方组织供货。</w:t>
      </w:r>
    </w:p>
    <w:p w14:paraId="2A0DA64F">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5.</w:t>
      </w:r>
      <w:r>
        <w:rPr>
          <w:rFonts w:hint="eastAsia" w:ascii="仿宋" w:hAnsi="仿宋" w:eastAsia="仿宋" w:cs="仿宋"/>
          <w:sz w:val="32"/>
          <w:szCs w:val="32"/>
          <w:lang w:val="en-US" w:eastAsia="zh-CN"/>
        </w:rPr>
        <w:t>入库</w:t>
      </w:r>
      <w:r>
        <w:rPr>
          <w:rFonts w:hint="eastAsia" w:ascii="仿宋" w:hAnsi="仿宋" w:eastAsia="仿宋" w:cs="仿宋"/>
          <w:sz w:val="32"/>
          <w:szCs w:val="32"/>
        </w:rPr>
        <w:t>质量要求：</w:t>
      </w:r>
      <w:r>
        <w:rPr>
          <w:rFonts w:hint="eastAsia" w:ascii="仿宋" w:hAnsi="仿宋" w:eastAsia="仿宋" w:cs="楷体"/>
          <w:sz w:val="32"/>
          <w:szCs w:val="32"/>
          <w:lang w:val="en-US" w:eastAsia="zh-CN"/>
        </w:rPr>
        <w:t>2025年度产小麦，</w:t>
      </w:r>
      <w:bookmarkStart w:id="0" w:name="_GoBack"/>
      <w:bookmarkEnd w:id="0"/>
      <w:r>
        <w:rPr>
          <w:rFonts w:hint="eastAsia" w:ascii="仿宋" w:hAnsi="仿宋" w:eastAsia="仿宋" w:cs="楷体"/>
          <w:sz w:val="32"/>
          <w:szCs w:val="32"/>
          <w:lang w:val="en-US" w:eastAsia="zh-CN"/>
        </w:rPr>
        <w:t>符合国标二等及以上标准。①容重≥770g/L；②水分＜13.5%，水分＞13.5%的拒收；③杂质≤1%，杂质超标需整理除杂达到国家标准后计量入库，筛下物随车带回，杂质＞1.5%的拒收，④不完善粒≤6%；⑤呕吐毒素＜1000μg/Kg；⑥色泽、气味：正常；⑦玉米赤霉烯酮＜60μg/Kg；⑧无霉变粒；无生芽粒；无虫粮；无陈粮互混；无黑穗病；其他质量指标及食品卫生指标符合国家相关标准，一仓一个等级。</w:t>
      </w:r>
      <w:r>
        <w:rPr>
          <w:rFonts w:hint="eastAsia" w:ascii="Times New Roman" w:hAnsi="Times New Roman" w:eastAsia="仿宋_GB2312" w:cs="Times New Roman"/>
          <w:sz w:val="32"/>
          <w:szCs w:val="32"/>
          <w:lang w:eastAsia="zh-CN"/>
        </w:rPr>
        <w:t>水杂升扣量按照国粮发〔20</w:t>
      </w:r>
      <w:r>
        <w:rPr>
          <w:rFonts w:hint="eastAsia" w:ascii="Times New Roman" w:hAnsi="Times New Roman" w:eastAsia="仿宋_GB2312" w:cs="Times New Roman"/>
          <w:sz w:val="32"/>
          <w:szCs w:val="32"/>
          <w:lang w:val="en-US" w:eastAsia="zh-CN"/>
        </w:rPr>
        <w:t>24</w:t>
      </w:r>
      <w:r>
        <w:rPr>
          <w:rFonts w:hint="eastAsia" w:ascii="Times New Roman" w:hAnsi="Times New Roman" w:eastAsia="仿宋_GB2312" w:cs="Times New Roman"/>
          <w:sz w:val="32"/>
          <w:szCs w:val="32"/>
          <w:lang w:eastAsia="zh-CN"/>
        </w:rPr>
        <w:t>〕1</w:t>
      </w:r>
      <w:r>
        <w:rPr>
          <w:rFonts w:hint="eastAsia" w:ascii="Times New Roman" w:hAnsi="Times New Roman" w:eastAsia="仿宋_GB2312" w:cs="Times New Roman"/>
          <w:sz w:val="32"/>
          <w:szCs w:val="32"/>
          <w:lang w:val="en-US" w:eastAsia="zh-CN"/>
        </w:rPr>
        <w:t>9</w:t>
      </w:r>
      <w:r>
        <w:rPr>
          <w:rFonts w:hint="eastAsia" w:ascii="Times New Roman" w:hAnsi="Times New Roman" w:eastAsia="仿宋_GB2312" w:cs="Times New Roman"/>
          <w:sz w:val="32"/>
          <w:szCs w:val="32"/>
          <w:lang w:eastAsia="zh-CN"/>
        </w:rPr>
        <w:t>8号文件执行</w:t>
      </w:r>
      <w:r>
        <w:rPr>
          <w:rFonts w:hint="eastAsia" w:ascii="仿宋" w:hAnsi="仿宋" w:eastAsia="仿宋" w:cs="楷体"/>
          <w:sz w:val="32"/>
          <w:szCs w:val="32"/>
          <w:lang w:val="en-US" w:eastAsia="zh-CN"/>
        </w:rPr>
        <w:t>，不符合质量指标及散筋小麦甲方有权拒收。</w:t>
      </w:r>
    </w:p>
    <w:p w14:paraId="3C4DFFD7">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6.验收办法：</w:t>
      </w:r>
    </w:p>
    <w:p w14:paraId="37F86E15">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highlight w:val="yellow"/>
          <w:vertAlign w:val="baseline"/>
          <w:lang w:val="en-US" w:eastAsia="zh-CN"/>
        </w:rPr>
      </w:pPr>
      <w:r>
        <w:rPr>
          <w:rFonts w:hint="eastAsia" w:ascii="仿宋" w:hAnsi="仿宋" w:eastAsia="仿宋" w:cs="仿宋"/>
          <w:sz w:val="32"/>
          <w:szCs w:val="32"/>
          <w:vertAlign w:val="baseline"/>
          <w:lang w:val="en-US" w:eastAsia="zh-CN"/>
        </w:rPr>
        <w:t>（1）质量确认：入库时双方在交货地验质，如对检验方法、标准或质量结果有异议，可委托具有检验资质的粮食质量检验机构检验，检验费用由异议提出方先行支付，异议成立的，最终由被异议方承担。</w:t>
      </w:r>
    </w:p>
    <w:p w14:paraId="04B027DD">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（2）数量确认：以交货库点地磅称重为准，乙方应当派人监磅，并对数量进行确认。</w:t>
      </w:r>
    </w:p>
    <w:p w14:paraId="36F30A83">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（3）乙方如有数量、质量异议应在入库卸货前提出，逾期未提异议的视为交付合格。</w:t>
      </w:r>
    </w:p>
    <w:p w14:paraId="125DEA13">
      <w:pPr>
        <w:keepNext w:val="0"/>
        <w:keepLines w:val="0"/>
        <w:pageBreakBefore w:val="0"/>
        <w:kinsoku/>
        <w:wordWrap/>
        <w:overflowPunct/>
        <w:topLinePunct w:val="0"/>
        <w:autoSpaceDE/>
        <w:autoSpaceDN/>
        <w:bidi w:val="0"/>
        <w:spacing w:line="560" w:lineRule="exact"/>
        <w:ind w:right="60" w:rightChars="0" w:firstLine="640" w:firstLineChars="200"/>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（4）粮食入库后，甲、乙双方须对入库粮食的存储仓号、数量、质量、价格等进行书面确认。</w:t>
      </w:r>
    </w:p>
    <w:p w14:paraId="3829C541">
      <w:pPr>
        <w:keepNext w:val="0"/>
        <w:keepLines w:val="0"/>
        <w:pageBreakBefore w:val="0"/>
        <w:kinsoku/>
        <w:wordWrap/>
        <w:overflowPunct/>
        <w:topLinePunct w:val="0"/>
        <w:autoSpaceDE/>
        <w:autoSpaceDN/>
        <w:bidi w:val="0"/>
        <w:spacing w:line="560" w:lineRule="exact"/>
        <w:ind w:firstLine="560"/>
        <w:jc w:val="left"/>
        <w:textAlignment w:val="auto"/>
        <w:rPr>
          <w:rFonts w:hint="eastAsia" w:ascii="仿宋" w:hAnsi="仿宋" w:eastAsia="仿宋" w:cs="仿宋"/>
          <w:b w:val="0"/>
          <w:bCs w:val="0"/>
          <w:color w:val="000000" w:themeColor="text1"/>
          <w:sz w:val="32"/>
          <w:szCs w:val="32"/>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二</w:t>
      </w:r>
      <w:r>
        <w:rPr>
          <w:rFonts w:hint="eastAsia" w:ascii="仿宋" w:hAnsi="仿宋" w:eastAsia="仿宋" w:cs="仿宋"/>
          <w:b w:val="0"/>
          <w:bCs w:val="0"/>
          <w:color w:val="000000" w:themeColor="text1"/>
          <w:sz w:val="32"/>
          <w:szCs w:val="32"/>
          <w14:textFill>
            <w14:solidFill>
              <w14:schemeClr w14:val="tx1"/>
            </w14:solidFill>
          </w14:textFill>
        </w:rPr>
        <w:t>、双方商定乙方回购事项</w:t>
      </w:r>
    </w:p>
    <w:p w14:paraId="4B2557B9">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 本次购销合作双向交易中，约定销售事项为乙方回购，乙方回购的粮食为本次采购的在未来时点轮出的粮食，回购粮食时间以甲方通知出库时间为准。具体回购时间为： 2027年 3至 5月轮出</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2650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vertAlign w:val="baseline"/>
          <w:lang w:val="en-US" w:eastAsia="zh-CN"/>
        </w:rPr>
        <w:t>吨</w:t>
      </w:r>
      <w:r>
        <w:rPr>
          <w:rFonts w:hint="eastAsia" w:ascii="仿宋" w:hAnsi="仿宋" w:eastAsia="仿宋" w:cs="仿宋"/>
          <w:sz w:val="30"/>
          <w:szCs w:val="30"/>
          <w:vertAlign w:val="baseline"/>
          <w:lang w:val="en-US" w:eastAsia="zh-CN"/>
        </w:rPr>
        <w:t>（甲方按照区级储备粮月末库存不低于总量70%开展轮换实施</w:t>
      </w:r>
      <w:r>
        <w:rPr>
          <w:rFonts w:hint="eastAsia" w:ascii="仿宋" w:hAnsi="仿宋" w:eastAsia="仿宋" w:cs="仿宋"/>
          <w:sz w:val="32"/>
          <w:szCs w:val="32"/>
          <w:vertAlign w:val="baseline"/>
          <w:lang w:val="en-US" w:eastAsia="zh-CN"/>
        </w:rPr>
        <w:t>。如合同中的储备粮被政府调用，本次购销合作双向交易中的销售合同终止履行，乙方不得强求甲方履行合同或要求甲方承担违约责任，乙方的权益按照五、3条款中内容补偿。）</w:t>
      </w:r>
    </w:p>
    <w:p w14:paraId="0FDB5D98">
      <w:pPr>
        <w:spacing w:line="640" w:lineRule="exact"/>
        <w:ind w:left="0" w:leftChars="0" w:firstLine="640" w:firstLineChars="200"/>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2.根据竞价交易结果，在设定采购固定价2460 元/吨基础上的回购价格及价差，即仓库车板价：</w:t>
      </w:r>
      <w:r>
        <w:rPr>
          <w:rFonts w:hint="eastAsia" w:ascii="仿宋" w:hAnsi="仿宋" w:eastAsia="仿宋" w:cs="仿宋"/>
          <w:color w:val="000000" w:themeColor="text1"/>
          <w:sz w:val="32"/>
          <w:szCs w:val="32"/>
          <w:u w:val="single"/>
          <w:lang w:val="en-US" w:eastAsia="zh-CN"/>
          <w14:textFill>
            <w14:solidFill>
              <w14:schemeClr w14:val="tx1"/>
            </w14:solidFill>
          </w14:textFill>
        </w:rPr>
        <w:t>________</w:t>
      </w:r>
      <w:r>
        <w:rPr>
          <w:rFonts w:hint="eastAsia" w:ascii="仿宋" w:hAnsi="仿宋" w:eastAsia="仿宋" w:cs="仿宋"/>
          <w:sz w:val="32"/>
          <w:szCs w:val="32"/>
          <w:vertAlign w:val="baseline"/>
          <w:lang w:val="en-US" w:eastAsia="zh-CN"/>
        </w:rPr>
        <w:t>元/吨（2027年出库，本处价格由竞价交易产生）。</w:t>
      </w:r>
    </w:p>
    <w:p w14:paraId="594CD8D7">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3.回购粮食数量以入库数量为准，以单个仓房为单位，双方按照保管账面数结算，合理损耗（</w:t>
      </w:r>
      <w:r>
        <w:rPr>
          <w:rFonts w:hint="eastAsia" w:ascii="仿宋" w:hAnsi="仿宋" w:eastAsia="仿宋" w:cs="仿宋"/>
          <w:sz w:val="32"/>
          <w:szCs w:val="32"/>
        </w:rPr>
        <w:t>通风</w:t>
      </w:r>
      <w:r>
        <w:rPr>
          <w:rFonts w:hint="eastAsia" w:ascii="仿宋" w:hAnsi="仿宋" w:eastAsia="仿宋" w:cs="仿宋"/>
          <w:sz w:val="32"/>
          <w:szCs w:val="32"/>
          <w:lang w:val="en-US" w:eastAsia="zh-CN"/>
        </w:rPr>
        <w:t>降水</w:t>
      </w:r>
      <w:r>
        <w:rPr>
          <w:rFonts w:hint="eastAsia" w:ascii="仿宋" w:hAnsi="仿宋" w:eastAsia="仿宋" w:cs="仿宋"/>
          <w:sz w:val="32"/>
          <w:szCs w:val="32"/>
        </w:rPr>
        <w:t>、出库、保管</w:t>
      </w:r>
      <w:r>
        <w:rPr>
          <w:rFonts w:hint="eastAsia" w:ascii="仿宋" w:hAnsi="仿宋" w:eastAsia="仿宋" w:cs="仿宋"/>
          <w:sz w:val="32"/>
          <w:szCs w:val="32"/>
          <w:lang w:val="en-US" w:eastAsia="zh-CN"/>
        </w:rPr>
        <w:t>等</w:t>
      </w:r>
      <w:r>
        <w:rPr>
          <w:rFonts w:hint="eastAsia" w:ascii="仿宋" w:hAnsi="仿宋" w:eastAsia="仿宋" w:cs="仿宋"/>
          <w:sz w:val="32"/>
          <w:szCs w:val="32"/>
        </w:rPr>
        <w:t>环节</w:t>
      </w:r>
      <w:r>
        <w:rPr>
          <w:rFonts w:hint="eastAsia" w:ascii="仿宋" w:hAnsi="仿宋" w:eastAsia="仿宋" w:cs="仿宋"/>
          <w:sz w:val="32"/>
          <w:szCs w:val="32"/>
          <w:vertAlign w:val="baseline"/>
          <w:lang w:val="en-US" w:eastAsia="zh-CN"/>
        </w:rPr>
        <w:t>部分）由乙方承担。</w:t>
      </w:r>
    </w:p>
    <w:p w14:paraId="28706AEF">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4.回购粮食质量以在库粮食质量为准，甲方提供符合相关规定的检验报告。</w:t>
      </w:r>
    </w:p>
    <w:p w14:paraId="79A1FFFC">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三、合同定金及保证金的支付与退还</w:t>
      </w:r>
    </w:p>
    <w:p w14:paraId="54ADE923">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1.乙方除向江苏市场等第三方缴纳规定的交易保证金外，需向甲方另交纳合同定金100元/吨，定金交付后，交易系统内的购、销双向交易合同正式生效，该项定金适用于双倍罚则。</w:t>
      </w:r>
    </w:p>
    <w:p w14:paraId="1AE4D286">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乙方需按货款金额的10％向甲方缴纳风险保证金，甲方根据收购入库进度分批次收取风险保证金，合同定金可转为风险保证金。风险保证金不计利息，在乙方回购阶段以单仓为单位最后一批粮食出库后退回至乙方。如小麦市场价低于最低收购价，乙方需按甲方通知时间截止期内，及时补足保证金，否则视为乙方违约。</w:t>
      </w:r>
    </w:p>
    <w:p w14:paraId="1D11C742">
      <w:pPr>
        <w:keepNext w:val="0"/>
        <w:keepLines w:val="0"/>
        <w:pageBreakBefore w:val="0"/>
        <w:widowControl/>
        <w:kinsoku/>
        <w:wordWrap/>
        <w:overflowPunct/>
        <w:topLinePunct w:val="0"/>
        <w:autoSpaceDE/>
        <w:autoSpaceDN/>
        <w:bidi w:val="0"/>
        <w:spacing w:line="560" w:lineRule="exact"/>
        <w:ind w:left="0" w:leftChars="0" w:firstLine="640" w:firstLineChars="200"/>
        <w:jc w:val="both"/>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3.采购合同项下，买卖双方自主交割，甲方在规定的合同入库期限（ 2025 年7月20日前）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2CAE4C60">
      <w:pPr>
        <w:keepNext w:val="0"/>
        <w:keepLines w:val="0"/>
        <w:pageBreakBefore w:val="0"/>
        <w:widowControl/>
        <w:kinsoku/>
        <w:wordWrap/>
        <w:overflowPunct/>
        <w:topLinePunct w:val="0"/>
        <w:autoSpaceDE/>
        <w:autoSpaceDN/>
        <w:bidi w:val="0"/>
        <w:spacing w:line="560" w:lineRule="exact"/>
        <w:ind w:left="0" w:leftChars="0" w:firstLine="640" w:firstLineChars="20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p>
    <w:p w14:paraId="0D665CD7">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四、</w:t>
      </w:r>
      <w:r>
        <w:rPr>
          <w:rFonts w:hint="eastAsia" w:ascii="仿宋" w:hAnsi="仿宋" w:eastAsia="仿宋" w:cs="仿宋"/>
          <w:b w:val="0"/>
          <w:bCs w:val="0"/>
          <w:color w:val="000000"/>
          <w:sz w:val="32"/>
          <w:szCs w:val="32"/>
        </w:rPr>
        <w:t>费用结算和发票开具</w:t>
      </w:r>
    </w:p>
    <w:p w14:paraId="5CC23DAD">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sz w:val="32"/>
          <w:szCs w:val="32"/>
        </w:rPr>
        <w:t>1.入库结算</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甲方根据收购进度</w:t>
      </w:r>
      <w:r>
        <w:rPr>
          <w:rFonts w:hint="eastAsia" w:ascii="仿宋" w:hAnsi="仿宋" w:eastAsia="仿宋" w:cs="仿宋"/>
          <w:color w:val="000000"/>
          <w:sz w:val="32"/>
          <w:szCs w:val="32"/>
          <w:lang w:eastAsia="zh-CN"/>
        </w:rPr>
        <w:t>支付</w:t>
      </w:r>
      <w:r>
        <w:rPr>
          <w:rFonts w:hint="eastAsia" w:ascii="仿宋" w:hAnsi="仿宋" w:eastAsia="仿宋" w:cs="仿宋"/>
          <w:color w:val="000000"/>
          <w:sz w:val="32"/>
          <w:szCs w:val="32"/>
        </w:rPr>
        <w:t>给</w:t>
      </w:r>
      <w:r>
        <w:rPr>
          <w:rFonts w:hint="eastAsia" w:ascii="仿宋" w:hAnsi="仿宋" w:eastAsia="仿宋" w:cs="仿宋"/>
          <w:color w:val="000000"/>
          <w:sz w:val="32"/>
          <w:szCs w:val="32"/>
          <w:lang w:eastAsia="zh-CN"/>
        </w:rPr>
        <w:t>乙</w:t>
      </w:r>
      <w:r>
        <w:rPr>
          <w:rFonts w:hint="eastAsia" w:ascii="仿宋" w:hAnsi="仿宋" w:eastAsia="仿宋" w:cs="仿宋"/>
          <w:color w:val="000000"/>
          <w:sz w:val="32"/>
          <w:szCs w:val="32"/>
        </w:rPr>
        <w:t>方收购款，</w:t>
      </w:r>
      <w:r>
        <w:rPr>
          <w:rFonts w:hint="eastAsia" w:ascii="仿宋" w:hAnsi="仿宋" w:eastAsia="仿宋" w:cs="仿宋"/>
          <w:color w:val="000000" w:themeColor="text1"/>
          <w:sz w:val="32"/>
          <w:szCs w:val="32"/>
          <w14:textFill>
            <w14:solidFill>
              <w14:schemeClr w14:val="tx1"/>
            </w14:solidFill>
          </w14:textFill>
        </w:rPr>
        <w:t>乙方</w:t>
      </w:r>
      <w:r>
        <w:rPr>
          <w:rFonts w:hint="eastAsia" w:ascii="仿宋" w:hAnsi="仿宋" w:eastAsia="仿宋" w:cs="仿宋"/>
          <w:color w:val="000000" w:themeColor="text1"/>
          <w:sz w:val="32"/>
          <w:szCs w:val="32"/>
          <w:lang w:eastAsia="zh-CN"/>
          <w14:textFill>
            <w14:solidFill>
              <w14:schemeClr w14:val="tx1"/>
            </w14:solidFill>
          </w14:textFill>
        </w:rPr>
        <w:t>根据实际入库数量按月</w:t>
      </w:r>
      <w:r>
        <w:rPr>
          <w:rFonts w:hint="eastAsia" w:ascii="仿宋" w:hAnsi="仿宋" w:eastAsia="仿宋" w:cs="仿宋"/>
          <w:color w:val="000000" w:themeColor="text1"/>
          <w:sz w:val="32"/>
          <w:szCs w:val="32"/>
          <w14:textFill>
            <w14:solidFill>
              <w14:schemeClr w14:val="tx1"/>
            </w14:solidFill>
          </w14:textFill>
        </w:rPr>
        <w:t>向甲方开具相应的增值税发票。</w:t>
      </w:r>
    </w:p>
    <w:p w14:paraId="777D665A">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2.销售结算</w:t>
      </w:r>
      <w:r>
        <w:rPr>
          <w:rFonts w:hint="eastAsia" w:ascii="仿宋" w:hAnsi="仿宋" w:eastAsia="仿宋" w:cs="仿宋"/>
          <w:sz w:val="32"/>
          <w:szCs w:val="32"/>
          <w:lang w:eastAsia="zh-CN"/>
        </w:rPr>
        <w:t>：</w:t>
      </w:r>
      <w:r>
        <w:rPr>
          <w:rFonts w:hint="eastAsia" w:ascii="仿宋" w:hAnsi="仿宋" w:eastAsia="仿宋" w:cs="仿宋"/>
          <w:sz w:val="32"/>
          <w:szCs w:val="32"/>
        </w:rPr>
        <w:t>乙方根据甲方通知，先款后货，凭借出库通知单提货，根据收款单位，由甲方向乙方开具相应的增值税发票。</w:t>
      </w:r>
    </w:p>
    <w:p w14:paraId="73F6EEE9">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color w:val="000000"/>
          <w:sz w:val="32"/>
          <w:szCs w:val="32"/>
        </w:rPr>
        <w:t>3.</w:t>
      </w:r>
      <w:r>
        <w:rPr>
          <w:rFonts w:hint="eastAsia" w:ascii="仿宋" w:hAnsi="仿宋" w:eastAsia="仿宋" w:cs="仿宋"/>
          <w:sz w:val="32"/>
          <w:szCs w:val="32"/>
        </w:rPr>
        <w:t>进出库费用</w:t>
      </w:r>
      <w:r>
        <w:rPr>
          <w:rFonts w:hint="eastAsia" w:ascii="仿宋" w:hAnsi="仿宋" w:eastAsia="仿宋" w:cs="仿宋"/>
          <w:sz w:val="32"/>
          <w:szCs w:val="32"/>
          <w:lang w:eastAsia="zh-CN"/>
        </w:rPr>
        <w:t>：</w:t>
      </w:r>
      <w:r>
        <w:rPr>
          <w:rFonts w:hint="eastAsia" w:ascii="仿宋" w:hAnsi="仿宋" w:eastAsia="仿宋" w:cs="仿宋"/>
          <w:sz w:val="32"/>
          <w:szCs w:val="32"/>
        </w:rPr>
        <w:t>乙方组织进库时仓库散装车板前费用由乙方承担；出库时仓库散装车板后费用由乙方承担。</w:t>
      </w:r>
    </w:p>
    <w:p w14:paraId="4D69603C">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b w:val="0"/>
          <w:bCs w:val="0"/>
          <w:color w:val="000000" w:themeColor="text1"/>
          <w:sz w:val="32"/>
          <w:szCs w:val="32"/>
          <w14:textFill>
            <w14:solidFill>
              <w14:schemeClr w14:val="tx1"/>
            </w14:solidFill>
          </w14:textFill>
        </w:rPr>
      </w:pPr>
      <w:r>
        <w:rPr>
          <w:rFonts w:hint="eastAsia" w:ascii="仿宋" w:hAnsi="仿宋" w:eastAsia="仿宋" w:cs="仿宋"/>
          <w:b w:val="0"/>
          <w:bCs w:val="0"/>
          <w:sz w:val="32"/>
          <w:szCs w:val="32"/>
        </w:rPr>
        <w:t>五、其他</w:t>
      </w:r>
      <w:r>
        <w:rPr>
          <w:rFonts w:hint="eastAsia" w:ascii="仿宋" w:hAnsi="仿宋" w:eastAsia="仿宋" w:cs="仿宋"/>
          <w:b w:val="0"/>
          <w:bCs w:val="0"/>
          <w:color w:val="000000" w:themeColor="text1"/>
          <w:sz w:val="32"/>
          <w:szCs w:val="32"/>
          <w14:textFill>
            <w14:solidFill>
              <w14:schemeClr w14:val="tx1"/>
            </w14:solidFill>
          </w14:textFill>
        </w:rPr>
        <w:t>条款：</w:t>
      </w:r>
    </w:p>
    <w:p w14:paraId="01DCE9CD">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rPr>
        <w:t>、2”条款计算确认。</w:t>
      </w:r>
    </w:p>
    <w:p w14:paraId="32C658B0">
      <w:pPr>
        <w:keepNext w:val="0"/>
        <w:keepLines w:val="0"/>
        <w:pageBreakBefore w:val="0"/>
        <w:tabs>
          <w:tab w:val="left" w:pos="1305"/>
        </w:tabs>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 xml:space="preserve">2.竞价成功获得合作购销权利后，乙方需与甲方签订本合同，原则上一周内不签订本合同，认定为乙方竞价中标后违约。 </w:t>
      </w:r>
    </w:p>
    <w:p w14:paraId="4D53D793">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color w:val="000000"/>
          <w:sz w:val="32"/>
          <w:szCs w:val="32"/>
        </w:rPr>
      </w:pP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3.</w:t>
      </w:r>
      <w:r>
        <w:rPr>
          <w:rFonts w:hint="eastAsia" w:ascii="仿宋" w:hAnsi="仿宋" w:eastAsia="仿宋" w:cs="仿宋"/>
          <w:color w:val="000000"/>
          <w:sz w:val="32"/>
          <w:szCs w:val="32"/>
        </w:rPr>
        <w:t>如遇政策调控，甲乙双方应无条件服从政府调控需要，互不承担违约责任。甲方按上级制定的调拨价格扣除相关税费后全额与乙方进行结算。</w:t>
      </w:r>
    </w:p>
    <w:p w14:paraId="35FEC2DA">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eastAsia="zh-CN"/>
        </w:rPr>
        <w:t>4.</w:t>
      </w:r>
      <w:r>
        <w:rPr>
          <w:rFonts w:hint="eastAsia" w:ascii="仿宋" w:hAnsi="仿宋" w:eastAsia="仿宋" w:cs="仿宋"/>
          <w:sz w:val="32"/>
          <w:szCs w:val="32"/>
        </w:rPr>
        <w:t>粮食入库后由甲方保管，并确保保管期间的入库粮食数量真实、质量良好。储存期间需符合地方储备粮管理规定，入库完毕后双方共同确认数量和质量。</w:t>
      </w:r>
    </w:p>
    <w:p w14:paraId="6FA8E8C7">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color w:val="000000"/>
          <w:sz w:val="32"/>
          <w:szCs w:val="32"/>
          <w:lang w:val="en-US" w:eastAsia="zh-CN"/>
        </w:rPr>
        <w:t>5.</w:t>
      </w:r>
      <w:r>
        <w:rPr>
          <w:rFonts w:hint="eastAsia" w:ascii="仿宋" w:hAnsi="仿宋" w:eastAsia="仿宋" w:cs="仿宋"/>
          <w:sz w:val="32"/>
          <w:szCs w:val="32"/>
        </w:rPr>
        <w:t>该批粮食的实际水杂减量和保管损耗由乙方承担。提货时甲方每开一个仓，乙方必须在</w:t>
      </w:r>
      <w:r>
        <w:rPr>
          <w:rFonts w:hint="eastAsia" w:ascii="仿宋" w:hAnsi="仿宋" w:eastAsia="仿宋" w:cs="仿宋"/>
          <w:sz w:val="32"/>
          <w:szCs w:val="32"/>
          <w:lang w:val="en-US" w:eastAsia="zh-CN"/>
        </w:rPr>
        <w:t>30</w:t>
      </w:r>
      <w:r>
        <w:rPr>
          <w:rFonts w:hint="eastAsia" w:ascii="仿宋" w:hAnsi="仿宋" w:eastAsia="仿宋" w:cs="仿宋"/>
          <w:sz w:val="32"/>
          <w:szCs w:val="32"/>
        </w:rPr>
        <w:t>日历日内提完，避免动仓后粮食质量下降</w:t>
      </w:r>
      <w:r>
        <w:rPr>
          <w:rFonts w:hint="eastAsia" w:ascii="仿宋" w:hAnsi="仿宋" w:eastAsia="仿宋" w:cs="仿宋"/>
          <w:sz w:val="32"/>
          <w:szCs w:val="32"/>
          <w:lang w:eastAsia="zh-CN"/>
        </w:rPr>
        <w:t>。</w:t>
      </w:r>
      <w:r>
        <w:rPr>
          <w:rFonts w:hint="eastAsia" w:ascii="仿宋" w:hAnsi="仿宋" w:eastAsia="仿宋" w:cs="仿宋"/>
          <w:sz w:val="32"/>
          <w:szCs w:val="32"/>
        </w:rPr>
        <w:t>因乙方未按要求及时</w:t>
      </w:r>
      <w:r>
        <w:rPr>
          <w:rFonts w:hint="eastAsia" w:ascii="仿宋" w:hAnsi="仿宋" w:eastAsia="仿宋" w:cs="仿宋"/>
          <w:sz w:val="32"/>
          <w:szCs w:val="32"/>
          <w:lang w:val="en-US" w:eastAsia="zh-CN"/>
        </w:rPr>
        <w:t>提货</w:t>
      </w:r>
      <w:r>
        <w:rPr>
          <w:rFonts w:hint="eastAsia" w:ascii="仿宋" w:hAnsi="仿宋" w:eastAsia="仿宋" w:cs="仿宋"/>
          <w:sz w:val="32"/>
          <w:szCs w:val="32"/>
        </w:rPr>
        <w:t>造成的粮食质量等损失均由乙方负全责</w:t>
      </w:r>
      <w:r>
        <w:rPr>
          <w:rFonts w:hint="eastAsia" w:ascii="仿宋" w:hAnsi="仿宋" w:eastAsia="仿宋" w:cs="仿宋"/>
          <w:sz w:val="32"/>
          <w:szCs w:val="32"/>
          <w:lang w:eastAsia="zh-CN"/>
        </w:rPr>
        <w:t>。</w:t>
      </w:r>
    </w:p>
    <w:p w14:paraId="48C2E2F7">
      <w:pPr>
        <w:keepNext w:val="0"/>
        <w:keepLines w:val="0"/>
        <w:pageBreakBefore w:val="0"/>
        <w:tabs>
          <w:tab w:val="left" w:pos="690"/>
        </w:tabs>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涉及储备粮业务的各项补贴与乙方无关。</w:t>
      </w:r>
    </w:p>
    <w:p w14:paraId="4115DE14">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六、违约责任</w:t>
      </w:r>
    </w:p>
    <w:p w14:paraId="5A2B2624">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1.乙方不能按合同时间、数量和质量送达，影响甲方储备入库计划，按违约处理，乙方保证金归甲方所有，合同终止。</w:t>
      </w:r>
    </w:p>
    <w:p w14:paraId="071053CC">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D0B852F">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sz w:val="32"/>
          <w:szCs w:val="32"/>
        </w:rPr>
      </w:pPr>
      <w:r>
        <w:rPr>
          <w:rFonts w:hint="eastAsia" w:ascii="仿宋" w:hAnsi="仿宋" w:eastAsia="仿宋" w:cs="仿宋"/>
          <w:sz w:val="32"/>
          <w:szCs w:val="32"/>
        </w:rPr>
        <w:t>七、</w:t>
      </w:r>
      <w:r>
        <w:rPr>
          <w:rFonts w:hint="eastAsia" w:ascii="仿宋" w:hAnsi="仿宋" w:eastAsia="仿宋" w:cs="仿宋"/>
          <w:b w:val="0"/>
          <w:bCs w:val="0"/>
          <w:sz w:val="32"/>
          <w:szCs w:val="32"/>
        </w:rPr>
        <w:t>合同履约结束后，双方无任何经济纠纷，甲方应及时退还乙方尚未冲抵的风险保证金。</w:t>
      </w:r>
    </w:p>
    <w:p w14:paraId="79A37243">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八、解决纠纷的方式：协商解决或按《民法典》通过法律程序解决。出现合同纠纷和未尽事宜，双方可协商，签订补充协议，补充协议与本协议具有同等法律效力，不能协商一致，可向原告所在地人民法院起诉。</w:t>
      </w:r>
    </w:p>
    <w:p w14:paraId="38491763">
      <w:pPr>
        <w:keepNext w:val="0"/>
        <w:keepLines w:val="0"/>
        <w:pageBreakBefore w:val="0"/>
        <w:tabs>
          <w:tab w:val="left" w:pos="690"/>
        </w:tabs>
        <w:kinsoku/>
        <w:wordWrap/>
        <w:overflowPunct/>
        <w:topLinePunct w:val="0"/>
        <w:autoSpaceDE/>
        <w:autoSpaceDN/>
        <w:bidi w:val="0"/>
        <w:spacing w:line="560" w:lineRule="exact"/>
        <w:ind w:firstLine="640" w:firstLineChars="200"/>
        <w:textAlignment w:val="auto"/>
        <w:rPr>
          <w:rFonts w:hint="eastAsia" w:ascii="仿宋" w:hAnsi="仿宋" w:eastAsia="仿宋" w:cs="仿宋"/>
          <w:i w:val="0"/>
          <w:sz w:val="32"/>
          <w:szCs w:val="32"/>
        </w:rPr>
      </w:pPr>
      <w:r>
        <w:rPr>
          <w:rFonts w:hint="eastAsia" w:ascii="仿宋" w:hAnsi="仿宋" w:eastAsia="仿宋" w:cs="仿宋"/>
          <w:sz w:val="32"/>
          <w:szCs w:val="32"/>
        </w:rPr>
        <w:t>九、本合同一式叁份，本合同双方签字盖章后成立，乙方按第</w:t>
      </w:r>
      <w:r>
        <w:rPr>
          <w:rFonts w:hint="eastAsia" w:ascii="仿宋" w:hAnsi="仿宋" w:eastAsia="仿宋" w:cs="仿宋"/>
          <w:sz w:val="32"/>
          <w:szCs w:val="32"/>
          <w:lang w:val="en-US" w:eastAsia="zh-CN"/>
        </w:rPr>
        <w:t>三</w:t>
      </w:r>
      <w:r>
        <w:rPr>
          <w:rFonts w:hint="eastAsia" w:ascii="仿宋" w:hAnsi="仿宋" w:eastAsia="仿宋" w:cs="仿宋"/>
          <w:sz w:val="32"/>
          <w:szCs w:val="32"/>
        </w:rPr>
        <w:t>条约定将</w:t>
      </w:r>
      <w:r>
        <w:rPr>
          <w:rFonts w:hint="eastAsia" w:ascii="仿宋" w:hAnsi="仿宋" w:eastAsia="仿宋" w:cs="仿宋"/>
          <w:color w:val="000000" w:themeColor="text1"/>
          <w:sz w:val="32"/>
          <w:szCs w:val="32"/>
          <w14:textFill>
            <w14:solidFill>
              <w14:schemeClr w14:val="tx1"/>
            </w14:solidFill>
          </w14:textFill>
        </w:rPr>
        <w:t>风险保证金付至甲方账户后生效</w:t>
      </w:r>
      <w:r>
        <w:rPr>
          <w:rFonts w:hint="eastAsia" w:ascii="仿宋" w:hAnsi="仿宋" w:eastAsia="仿宋" w:cs="仿宋"/>
          <w:sz w:val="32"/>
          <w:szCs w:val="32"/>
        </w:rPr>
        <w:t>，本合同有效期至出库结束止，本合同相关传真件视同原件，传真件与原件不符的，以原件为准。</w:t>
      </w:r>
    </w:p>
    <w:p w14:paraId="1BC21764">
      <w:pPr>
        <w:keepNext w:val="0"/>
        <w:keepLines w:val="0"/>
        <w:pageBreakBefore w:val="0"/>
        <w:tabs>
          <w:tab w:val="left" w:pos="690"/>
        </w:tabs>
        <w:kinsoku/>
        <w:wordWrap/>
        <w:overflowPunct/>
        <w:topLinePunct w:val="0"/>
        <w:autoSpaceDE/>
        <w:autoSpaceDN/>
        <w:bidi w:val="0"/>
        <w:spacing w:line="560" w:lineRule="exact"/>
        <w:textAlignment w:val="auto"/>
        <w:rPr>
          <w:rFonts w:hint="eastAsia" w:ascii="仿宋" w:hAnsi="仿宋" w:eastAsia="仿宋" w:cs="仿宋"/>
          <w:sz w:val="32"/>
          <w:szCs w:val="32"/>
        </w:rPr>
      </w:pPr>
      <w:r>
        <w:rPr>
          <w:rFonts w:hint="eastAsia" w:ascii="仿宋" w:hAnsi="仿宋" w:eastAsia="仿宋" w:cs="仿宋"/>
          <w:i w:val="0"/>
          <w:sz w:val="32"/>
          <w:szCs w:val="32"/>
        </w:rPr>
        <w:t>（以下无正文）</w:t>
      </w:r>
    </w:p>
    <w:p w14:paraId="17C16CA0">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仿宋"/>
          <w:sz w:val="32"/>
          <w:szCs w:val="32"/>
        </w:rPr>
      </w:pPr>
    </w:p>
    <w:p w14:paraId="41C61300">
      <w:pPr>
        <w:spacing w:line="408" w:lineRule="auto"/>
        <w:rPr>
          <w:rFonts w:hint="eastAsia" w:ascii="仿宋" w:hAnsi="仿宋" w:eastAsia="仿宋" w:cs="仿宋"/>
          <w:sz w:val="32"/>
          <w:szCs w:val="32"/>
        </w:rPr>
      </w:pPr>
      <w:r>
        <w:rPr>
          <w:rFonts w:hint="eastAsia" w:ascii="仿宋" w:hAnsi="仿宋" w:eastAsia="仿宋" w:cs="仿宋"/>
          <w:sz w:val="32"/>
          <w:szCs w:val="32"/>
        </w:rPr>
        <w:t xml:space="preserve">甲  方：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eastAsia="zh-CN"/>
        </w:rPr>
        <w:t>乙</w:t>
      </w:r>
      <w:r>
        <w:rPr>
          <w:rFonts w:hint="eastAsia" w:ascii="仿宋" w:hAnsi="仿宋" w:eastAsia="仿宋" w:cs="仿宋"/>
          <w:sz w:val="32"/>
          <w:szCs w:val="32"/>
        </w:rPr>
        <w:t xml:space="preserve">  方：</w:t>
      </w:r>
    </w:p>
    <w:p w14:paraId="08DEC7FE">
      <w:pPr>
        <w:spacing w:line="408" w:lineRule="auto"/>
        <w:ind w:firstLine="1920" w:firstLineChars="600"/>
        <w:rPr>
          <w:rFonts w:hint="eastAsia" w:ascii="仿宋" w:hAnsi="仿宋" w:eastAsia="仿宋" w:cs="仿宋"/>
          <w:sz w:val="32"/>
          <w:szCs w:val="32"/>
        </w:rPr>
      </w:pPr>
      <w:r>
        <w:rPr>
          <w:rFonts w:hint="eastAsia" w:ascii="仿宋" w:hAnsi="仿宋" w:eastAsia="仿宋" w:cs="仿宋"/>
          <w:sz w:val="32"/>
          <w:szCs w:val="32"/>
        </w:rPr>
        <w:t xml:space="preserve">                       </w:t>
      </w:r>
    </w:p>
    <w:p w14:paraId="14996B6F">
      <w:pPr>
        <w:keepNext w:val="0"/>
        <w:keepLines w:val="0"/>
        <w:pageBreakBefore w:val="0"/>
        <w:widowControl/>
        <w:kinsoku/>
        <w:wordWrap/>
        <w:overflowPunct/>
        <w:topLinePunct w:val="0"/>
        <w:autoSpaceDE/>
        <w:autoSpaceDN/>
        <w:bidi w:val="0"/>
        <w:spacing w:line="590" w:lineRule="exact"/>
        <w:ind w:left="0" w:leftChars="0" w:firstLine="0" w:firstLineChars="0"/>
        <w:jc w:val="left"/>
        <w:textAlignment w:val="auto"/>
        <w:rPr>
          <w:rFonts w:hint="eastAsia" w:ascii="仿宋" w:hAnsi="仿宋" w:eastAsia="仿宋" w:cs="仿宋"/>
          <w:sz w:val="32"/>
          <w:szCs w:val="32"/>
          <w:vertAlign w:val="baseline"/>
          <w:lang w:val="en-US" w:eastAsia="zh-CN"/>
        </w:rPr>
      </w:pPr>
      <w:r>
        <w:rPr>
          <w:rFonts w:hint="eastAsia" w:ascii="仿宋" w:hAnsi="仿宋" w:eastAsia="仿宋" w:cs="仿宋"/>
          <w:sz w:val="32"/>
          <w:szCs w:val="32"/>
        </w:rPr>
        <w:t xml:space="preserve">日    期：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日    期：</w:t>
      </w:r>
    </w:p>
    <w:p w14:paraId="4AAABE22">
      <w:pPr>
        <w:keepNext w:val="0"/>
        <w:keepLines w:val="0"/>
        <w:pageBreakBefore w:val="0"/>
        <w:widowControl/>
        <w:kinsoku/>
        <w:wordWrap/>
        <w:overflowPunct/>
        <w:topLinePunct w:val="0"/>
        <w:autoSpaceDE/>
        <w:autoSpaceDN/>
        <w:bidi w:val="0"/>
        <w:spacing w:line="590" w:lineRule="exact"/>
        <w:jc w:val="left"/>
        <w:textAlignment w:val="auto"/>
        <w:rPr>
          <w:rFonts w:hint="eastAsia" w:ascii="仿宋" w:hAnsi="仿宋" w:eastAsia="仿宋" w:cs="仿宋"/>
          <w:sz w:val="32"/>
          <w:szCs w:val="32"/>
          <w:vertAlign w:val="baseline"/>
          <w:lang w:val="en-US" w:eastAsia="zh-CN"/>
        </w:rPr>
      </w:pPr>
    </w:p>
    <w:p w14:paraId="787E7A17">
      <w:pPr>
        <w:rPr>
          <w:rFonts w:hint="eastAsia" w:ascii="仿宋" w:hAnsi="仿宋" w:eastAsia="仿宋" w:cs="仿宋"/>
          <w:b/>
          <w:bCs/>
          <w:color w:val="auto"/>
          <w:sz w:val="44"/>
          <w:szCs w:val="4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7103A6"/>
    <w:rsid w:val="10305890"/>
    <w:rsid w:val="16777D74"/>
    <w:rsid w:val="190505E7"/>
    <w:rsid w:val="19B82A0F"/>
    <w:rsid w:val="21EA1DCF"/>
    <w:rsid w:val="230E0EE8"/>
    <w:rsid w:val="29043FB1"/>
    <w:rsid w:val="33A14F6D"/>
    <w:rsid w:val="434C41B3"/>
    <w:rsid w:val="495C1951"/>
    <w:rsid w:val="53400927"/>
    <w:rsid w:val="537103A6"/>
    <w:rsid w:val="548C53FC"/>
    <w:rsid w:val="57667DA8"/>
    <w:rsid w:val="5D5F04BF"/>
    <w:rsid w:val="664A5A34"/>
    <w:rsid w:val="66C11B4E"/>
    <w:rsid w:val="6B8D6867"/>
    <w:rsid w:val="700E7CBA"/>
    <w:rsid w:val="7D39428C"/>
    <w:rsid w:val="7DB203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2"/>
    <w:basedOn w:val="1"/>
    <w:unhideWhenUsed/>
    <w:qFormat/>
    <w:uiPriority w:val="99"/>
    <w:pPr>
      <w:spacing w:after="120" w:line="480" w:lineRule="auto"/>
      <w:ind w:left="420" w:left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504</Words>
  <Characters>575</Characters>
  <Lines>0</Lines>
  <Paragraphs>0</Paragraphs>
  <TotalTime>1</TotalTime>
  <ScaleCrop>false</ScaleCrop>
  <LinksUpToDate>false</LinksUpToDate>
  <CharactersWithSpaces>620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2024-10-29T02:00:00Z</dcterms:created>
  <dc:creator>Administrator</dc:creator>
  <cp:lastModifiedBy>Administrator</cp:lastModifiedBy>
  <dcterms:modified xsi:type="dcterms:W3CDTF">2025-05-23T03:36:37Z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0A225A8DCB73494794AEC6FF068D2400_11</vt:lpwstr>
  </property>
  <property fmtid="{D5CDD505-2E9C-101B-9397-08002B2CF9AE}" pid="4" name="KSOTemplateDocerSaveRecord">
    <vt:lpwstr>eyJoZGlkIjoiOWQ2OGQ0ZWQ1Yzc4YWM1Mjk2NzZkMzgwZWIyNWRiZjAifQ==</vt:lpwstr>
  </property>
</Properties>
</file>