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9ED03F">
      <w:pPr>
        <w:spacing w:line="600" w:lineRule="exact"/>
        <w:jc w:val="center"/>
        <w:rPr>
          <w:rFonts w:hint="eastAsia"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t>速冻玉米销售合同</w:t>
      </w:r>
    </w:p>
    <w:p w14:paraId="6C6F2EB7">
      <w:pPr>
        <w:jc w:val="center"/>
        <w:rPr>
          <w:rFonts w:hint="eastAsia" w:ascii="微软雅黑" w:hAnsi="仿宋" w:eastAsia="微软雅黑"/>
          <w:b/>
          <w:color w:val="auto"/>
          <w:sz w:val="36"/>
          <w:szCs w:val="36"/>
          <w:highlight w:val="none"/>
        </w:rPr>
      </w:pPr>
    </w:p>
    <w:tbl>
      <w:tblPr>
        <w:tblStyle w:val="8"/>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96"/>
        <w:gridCol w:w="2664"/>
      </w:tblGrid>
      <w:tr w14:paraId="3169C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right"/>
        </w:trPr>
        <w:tc>
          <w:tcPr>
            <w:tcW w:w="1696" w:type="dxa"/>
          </w:tcPr>
          <w:p w14:paraId="55A01CCA">
            <w:pPr>
              <w:rPr>
                <w:rFonts w:hint="eastAsia" w:ascii="仿宋_GB2312" w:hAnsi="仿宋_GB2312" w:eastAsia="仿宋_GB2312" w:cs="仿宋_GB2312"/>
                <w:b/>
                <w:color w:val="auto"/>
                <w:sz w:val="28"/>
                <w:szCs w:val="28"/>
                <w:highlight w:val="none"/>
              </w:rPr>
            </w:pPr>
            <w:bookmarkStart w:id="0" w:name="tip_risk_bookmark_1"/>
            <w:bookmarkStart w:id="1" w:name="tip_risk_bookmark_2"/>
            <w:r>
              <w:rPr>
                <w:rFonts w:hint="eastAsia" w:ascii="仿宋_GB2312" w:hAnsi="仿宋_GB2312" w:eastAsia="仿宋_GB2312" w:cs="仿宋_GB2312"/>
                <w:b/>
                <w:color w:val="auto"/>
                <w:sz w:val="28"/>
                <w:szCs w:val="28"/>
                <w:highlight w:val="none"/>
              </w:rPr>
              <w:t>合同编号：</w:t>
            </w:r>
          </w:p>
        </w:tc>
        <w:tc>
          <w:tcPr>
            <w:tcW w:w="2664" w:type="dxa"/>
          </w:tcPr>
          <w:p w14:paraId="51F1CC9B">
            <w:pPr>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BDHTH-202</w:t>
            </w:r>
            <w:r>
              <w:rPr>
                <w:rFonts w:hint="eastAsia" w:ascii="仿宋_GB2312" w:hAnsi="仿宋_GB2312" w:eastAsia="仿宋_GB2312" w:cs="仿宋_GB2312"/>
                <w:b/>
                <w:color w:val="auto"/>
                <w:sz w:val="28"/>
                <w:szCs w:val="28"/>
                <w:highlight w:val="none"/>
                <w:lang w:val="en-US" w:eastAsia="zh-CN"/>
              </w:rPr>
              <w:t>6</w:t>
            </w:r>
            <w:r>
              <w:rPr>
                <w:rFonts w:hint="eastAsia" w:ascii="仿宋_GB2312" w:hAnsi="仿宋_GB2312" w:eastAsia="仿宋_GB2312" w:cs="仿宋_GB2312"/>
                <w:b/>
                <w:color w:val="auto"/>
                <w:sz w:val="28"/>
                <w:szCs w:val="28"/>
                <w:highlight w:val="none"/>
              </w:rPr>
              <w:t>-</w:t>
            </w:r>
          </w:p>
        </w:tc>
      </w:tr>
      <w:tr w14:paraId="49FD7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right"/>
        </w:trPr>
        <w:tc>
          <w:tcPr>
            <w:tcW w:w="1696" w:type="dxa"/>
          </w:tcPr>
          <w:p w14:paraId="5D8F1B62">
            <w:pPr>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签订地点：</w:t>
            </w:r>
          </w:p>
        </w:tc>
        <w:tc>
          <w:tcPr>
            <w:tcW w:w="2664" w:type="dxa"/>
          </w:tcPr>
          <w:p w14:paraId="40EB22E3">
            <w:pPr>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哈尔滨市阿城区民合大街3号</w:t>
            </w:r>
          </w:p>
        </w:tc>
      </w:tr>
      <w:tr w14:paraId="10EC6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right"/>
        </w:trPr>
        <w:tc>
          <w:tcPr>
            <w:tcW w:w="1696" w:type="dxa"/>
          </w:tcPr>
          <w:p w14:paraId="66DA8609">
            <w:pPr>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签订时间：</w:t>
            </w:r>
          </w:p>
        </w:tc>
        <w:tc>
          <w:tcPr>
            <w:tcW w:w="2664" w:type="dxa"/>
          </w:tcPr>
          <w:p w14:paraId="28E44AEE">
            <w:pPr>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 202</w:t>
            </w:r>
            <w:r>
              <w:rPr>
                <w:rFonts w:hint="eastAsia" w:ascii="仿宋_GB2312" w:hAnsi="仿宋_GB2312" w:eastAsia="仿宋_GB2312" w:cs="仿宋_GB2312"/>
                <w:b/>
                <w:color w:val="auto"/>
                <w:sz w:val="28"/>
                <w:szCs w:val="28"/>
                <w:highlight w:val="none"/>
                <w:lang w:val="en-US" w:eastAsia="zh-CN"/>
              </w:rPr>
              <w:t>6</w:t>
            </w:r>
            <w:r>
              <w:rPr>
                <w:rFonts w:hint="eastAsia" w:ascii="仿宋_GB2312" w:hAnsi="仿宋_GB2312" w:eastAsia="仿宋_GB2312" w:cs="仿宋_GB2312"/>
                <w:b/>
                <w:color w:val="auto"/>
                <w:sz w:val="28"/>
                <w:szCs w:val="28"/>
                <w:highlight w:val="none"/>
              </w:rPr>
              <w:t>年 月 日</w:t>
            </w:r>
          </w:p>
        </w:tc>
      </w:tr>
      <w:bookmarkEnd w:id="0"/>
    </w:tbl>
    <w:p w14:paraId="04B47085">
      <w:pPr>
        <w:rPr>
          <w:rFonts w:hint="eastAsia" w:ascii="仿宋_GB2312" w:hAnsi="仿宋_GB2312" w:eastAsia="仿宋_GB2312" w:cs="仿宋_GB2312"/>
          <w:color w:val="auto"/>
          <w:sz w:val="28"/>
          <w:szCs w:val="28"/>
          <w:highlight w:val="none"/>
        </w:rPr>
      </w:pPr>
    </w:p>
    <w:p w14:paraId="3286EA42">
      <w:pPr>
        <w:spacing w:line="360" w:lineRule="auto"/>
        <w:ind w:firstLine="560" w:firstLineChars="200"/>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甲      方：</w:t>
      </w:r>
      <w:r>
        <w:rPr>
          <w:rFonts w:hint="eastAsia" w:ascii="仿宋_GB2312" w:hAnsi="仿宋_GB2312" w:eastAsia="仿宋_GB2312" w:cs="仿宋_GB2312"/>
          <w:bCs/>
          <w:color w:val="auto"/>
          <w:sz w:val="28"/>
          <w:szCs w:val="28"/>
          <w:highlight w:val="none"/>
          <w:u w:val="single"/>
        </w:rPr>
        <w:t>北大荒泰华有机食品股份有限公司依兰鲜食玉米农业科技分公司</w:t>
      </w:r>
    </w:p>
    <w:p w14:paraId="50F16805">
      <w:pPr>
        <w:spacing w:line="360" w:lineRule="auto"/>
        <w:ind w:firstLine="560" w:firstLineChars="200"/>
        <w:rPr>
          <w:rFonts w:hint="eastAsia" w:ascii="仿宋_GB2312" w:hAnsi="仿宋_GB2312" w:eastAsia="仿宋_GB2312" w:cs="仿宋_GB2312"/>
          <w:bCs/>
          <w:color w:val="auto"/>
          <w:sz w:val="28"/>
          <w:szCs w:val="28"/>
          <w:highlight w:val="none"/>
          <w:u w:val="single"/>
        </w:rPr>
      </w:pPr>
      <w:r>
        <w:rPr>
          <w:rFonts w:hint="eastAsia" w:ascii="仿宋_GB2312" w:hAnsi="仿宋_GB2312" w:eastAsia="仿宋_GB2312" w:cs="仿宋_GB2312"/>
          <w:bCs/>
          <w:color w:val="auto"/>
          <w:sz w:val="28"/>
          <w:szCs w:val="28"/>
          <w:highlight w:val="none"/>
        </w:rPr>
        <w:t>地      址：</w:t>
      </w:r>
      <w:r>
        <w:rPr>
          <w:rFonts w:hint="eastAsia" w:ascii="仿宋_GB2312" w:hAnsi="仿宋_GB2312" w:eastAsia="仿宋_GB2312" w:cs="仿宋_GB2312"/>
          <w:bCs/>
          <w:color w:val="auto"/>
          <w:sz w:val="28"/>
          <w:szCs w:val="28"/>
          <w:highlight w:val="none"/>
          <w:u w:val="single"/>
        </w:rPr>
        <w:t>黑龙江省哈尔滨市依兰县朝阳食品工业园区</w:t>
      </w:r>
    </w:p>
    <w:p w14:paraId="7C5E24E1">
      <w:pPr>
        <w:spacing w:line="360" w:lineRule="auto"/>
        <w:ind w:firstLine="560" w:firstLineChars="200"/>
        <w:rPr>
          <w:rFonts w:ascii="仿宋_GB2312" w:hAnsi="仿宋_GB2312" w:eastAsia="仿宋_GB2312" w:cs="仿宋_GB2312"/>
          <w:bCs/>
          <w:color w:val="auto"/>
          <w:sz w:val="28"/>
          <w:szCs w:val="28"/>
          <w:highlight w:val="none"/>
          <w:u w:val="single"/>
        </w:rPr>
      </w:pPr>
      <w:r>
        <w:rPr>
          <w:rFonts w:hint="eastAsia" w:ascii="仿宋_GB2312" w:hAnsi="仿宋_GB2312" w:eastAsia="仿宋_GB2312" w:cs="仿宋_GB2312"/>
          <w:bCs/>
          <w:color w:val="auto"/>
          <w:sz w:val="28"/>
          <w:szCs w:val="28"/>
          <w:highlight w:val="none"/>
        </w:rPr>
        <w:t>法定代表人：</w:t>
      </w:r>
      <w:r>
        <w:rPr>
          <w:rFonts w:hint="eastAsia" w:ascii="仿宋_GB2312" w:hAnsi="仿宋_GB2312" w:eastAsia="仿宋_GB2312" w:cs="仿宋_GB2312"/>
          <w:bCs/>
          <w:color w:val="auto"/>
          <w:sz w:val="28"/>
          <w:szCs w:val="28"/>
          <w:highlight w:val="none"/>
          <w:u w:val="single"/>
        </w:rPr>
        <w:t xml:space="preserve">                   </w:t>
      </w:r>
    </w:p>
    <w:p w14:paraId="3B3C8418">
      <w:pPr>
        <w:spacing w:line="360" w:lineRule="auto"/>
        <w:ind w:firstLine="548" w:firstLineChars="196"/>
        <w:rPr>
          <w:rFonts w:hint="eastAsia"/>
          <w:bCs/>
          <w:color w:val="auto"/>
          <w:sz w:val="28"/>
          <w:szCs w:val="28"/>
          <w:highlight w:val="none"/>
        </w:rPr>
      </w:pPr>
      <w:r>
        <w:rPr>
          <w:rFonts w:hint="eastAsia" w:ascii="仿宋_GB2312" w:hAnsi="仿宋_GB2312" w:eastAsia="仿宋_GB2312" w:cs="仿宋_GB2312"/>
          <w:bCs/>
          <w:color w:val="auto"/>
          <w:sz w:val="28"/>
          <w:szCs w:val="28"/>
          <w:highlight w:val="none"/>
        </w:rPr>
        <w:t>职      务：</w:t>
      </w:r>
      <w:r>
        <w:rPr>
          <w:rFonts w:hint="eastAsia" w:ascii="仿宋_GB2312" w:hAnsi="仿宋_GB2312" w:eastAsia="仿宋_GB2312" w:cs="仿宋_GB2312"/>
          <w:bCs/>
          <w:color w:val="auto"/>
          <w:sz w:val="28"/>
          <w:szCs w:val="28"/>
          <w:highlight w:val="none"/>
          <w:u w:val="single"/>
        </w:rPr>
        <w:t xml:space="preserve">                   </w:t>
      </w:r>
    </w:p>
    <w:p w14:paraId="760C071C">
      <w:pPr>
        <w:spacing w:line="360" w:lineRule="auto"/>
        <w:ind w:firstLine="548" w:firstLineChars="196"/>
        <w:rPr>
          <w:rFonts w:ascii="仿宋_GB2312" w:hAnsi="仿宋_GB2312" w:eastAsia="仿宋_GB2312" w:cs="仿宋_GB2312"/>
          <w:bCs/>
          <w:color w:val="auto"/>
          <w:sz w:val="28"/>
          <w:szCs w:val="28"/>
          <w:highlight w:val="none"/>
          <w:u w:val="single"/>
        </w:rPr>
      </w:pPr>
      <w:bookmarkStart w:id="2" w:name="tip_risk_bookmark_3"/>
      <w:r>
        <w:rPr>
          <w:rFonts w:hint="eastAsia" w:ascii="仿宋_GB2312" w:hAnsi="仿宋_GB2312" w:eastAsia="仿宋_GB2312" w:cs="仿宋_GB2312"/>
          <w:bCs/>
          <w:color w:val="auto"/>
          <w:sz w:val="28"/>
          <w:szCs w:val="28"/>
          <w:highlight w:val="none"/>
        </w:rPr>
        <w:t>乙      方：</w:t>
      </w:r>
      <w:r>
        <w:rPr>
          <w:rFonts w:hint="eastAsia" w:ascii="仿宋_GB2312" w:hAnsi="仿宋_GB2312" w:eastAsia="仿宋_GB2312" w:cs="仿宋_GB2312"/>
          <w:bCs/>
          <w:color w:val="auto"/>
          <w:sz w:val="28"/>
          <w:szCs w:val="28"/>
          <w:highlight w:val="none"/>
          <w:u w:val="single"/>
        </w:rPr>
        <w:t xml:space="preserve">                         </w:t>
      </w:r>
    </w:p>
    <w:p w14:paraId="642982F3">
      <w:pPr>
        <w:spacing w:line="360" w:lineRule="auto"/>
        <w:ind w:firstLine="548" w:firstLineChars="196"/>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地      址：</w:t>
      </w:r>
      <w:r>
        <w:rPr>
          <w:rFonts w:hint="eastAsia" w:ascii="仿宋_GB2312" w:hAnsi="仿宋_GB2312" w:eastAsia="仿宋_GB2312" w:cs="仿宋_GB2312"/>
          <w:bCs/>
          <w:color w:val="auto"/>
          <w:sz w:val="28"/>
          <w:szCs w:val="28"/>
          <w:highlight w:val="none"/>
          <w:u w:val="single"/>
        </w:rPr>
        <w:t xml:space="preserve">                        </w:t>
      </w:r>
    </w:p>
    <w:p w14:paraId="32B4E708">
      <w:pPr>
        <w:spacing w:line="360" w:lineRule="auto"/>
        <w:ind w:firstLine="548" w:firstLineChars="196"/>
        <w:rPr>
          <w:rFonts w:ascii="仿宋_GB2312" w:hAnsi="仿宋_GB2312" w:eastAsia="仿宋_GB2312" w:cs="仿宋_GB2312"/>
          <w:bCs/>
          <w:color w:val="auto"/>
          <w:sz w:val="28"/>
          <w:szCs w:val="28"/>
          <w:highlight w:val="none"/>
          <w:u w:val="single"/>
        </w:rPr>
      </w:pPr>
      <w:r>
        <w:rPr>
          <w:rFonts w:hint="eastAsia" w:ascii="仿宋_GB2312" w:hAnsi="仿宋_GB2312" w:eastAsia="仿宋_GB2312" w:cs="仿宋_GB2312"/>
          <w:bCs/>
          <w:color w:val="auto"/>
          <w:sz w:val="28"/>
          <w:szCs w:val="28"/>
          <w:highlight w:val="none"/>
        </w:rPr>
        <w:t>法定代表人：</w:t>
      </w:r>
      <w:r>
        <w:rPr>
          <w:rFonts w:hint="eastAsia" w:ascii="仿宋_GB2312" w:hAnsi="仿宋_GB2312" w:eastAsia="仿宋_GB2312" w:cs="仿宋_GB2312"/>
          <w:bCs/>
          <w:color w:val="auto"/>
          <w:sz w:val="28"/>
          <w:szCs w:val="28"/>
          <w:highlight w:val="none"/>
          <w:u w:val="single"/>
        </w:rPr>
        <w:t xml:space="preserve">                        </w:t>
      </w:r>
    </w:p>
    <w:p w14:paraId="2DBEF644">
      <w:pPr>
        <w:spacing w:line="360" w:lineRule="auto"/>
        <w:ind w:firstLine="548" w:firstLineChars="196"/>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职      务：</w:t>
      </w:r>
      <w:bookmarkEnd w:id="1"/>
      <w:bookmarkEnd w:id="2"/>
      <w:r>
        <w:rPr>
          <w:rFonts w:hint="eastAsia" w:ascii="仿宋_GB2312" w:hAnsi="仿宋_GB2312" w:eastAsia="仿宋_GB2312" w:cs="仿宋_GB2312"/>
          <w:bCs/>
          <w:color w:val="auto"/>
          <w:sz w:val="28"/>
          <w:szCs w:val="28"/>
          <w:highlight w:val="none"/>
          <w:u w:val="single"/>
        </w:rPr>
        <w:t xml:space="preserve">                       </w:t>
      </w:r>
    </w:p>
    <w:p w14:paraId="1E7C6D48">
      <w:pPr>
        <w:spacing w:line="360" w:lineRule="auto"/>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甲乙双方根据平等、公平、诚实、信用的原则</w:t>
      </w:r>
      <w:r>
        <w:rPr>
          <w:rFonts w:hint="eastAsia" w:ascii="仿宋_GB2312" w:hAnsi="仿宋_GB2312" w:eastAsia="仿宋_GB2312" w:cs="仿宋_GB2312"/>
          <w:bCs/>
          <w:color w:val="auto"/>
          <w:sz w:val="28"/>
          <w:szCs w:val="28"/>
          <w:highlight w:val="none"/>
        </w:rPr>
        <w:t>，经充分友好协商，确定由乙方包销</w:t>
      </w:r>
      <w:r>
        <w:rPr>
          <w:rFonts w:hint="eastAsia" w:ascii="仿宋_GB2312" w:hAnsi="仿宋_GB2312" w:eastAsia="仿宋_GB2312" w:cs="仿宋_GB2312"/>
          <w:bCs/>
          <w:color w:val="auto"/>
          <w:sz w:val="28"/>
          <w:szCs w:val="28"/>
          <w:highlight w:val="none"/>
          <w:lang w:eastAsia="zh-CN"/>
        </w:rPr>
        <w:t>甲方</w:t>
      </w:r>
      <w:r>
        <w:rPr>
          <w:rFonts w:hint="eastAsia" w:ascii="仿宋_GB2312" w:hAnsi="仿宋_GB2312" w:eastAsia="仿宋_GB2312" w:cs="仿宋_GB2312"/>
          <w:bCs/>
          <w:color w:val="auto"/>
          <w:sz w:val="28"/>
          <w:szCs w:val="28"/>
          <w:highlight w:val="none"/>
        </w:rPr>
        <w:t>储存在</w:t>
      </w:r>
      <w:r>
        <w:rPr>
          <w:rFonts w:hint="eastAsia" w:ascii="仿宋_GB2312" w:hAnsi="仿宋_GB2312" w:eastAsia="仿宋_GB2312" w:cs="仿宋_GB2312"/>
          <w:bCs/>
          <w:color w:val="auto"/>
          <w:sz w:val="28"/>
          <w:szCs w:val="28"/>
          <w:highlight w:val="none"/>
          <w:lang w:val="en-US" w:eastAsia="zh-CN"/>
        </w:rPr>
        <w:t>依兰</w:t>
      </w:r>
      <w:r>
        <w:rPr>
          <w:rFonts w:hint="eastAsia" w:ascii="仿宋_GB2312" w:hAnsi="仿宋_GB2312" w:eastAsia="仿宋_GB2312" w:cs="仿宋_GB2312"/>
          <w:bCs/>
          <w:color w:val="auto"/>
          <w:sz w:val="28"/>
          <w:szCs w:val="28"/>
          <w:highlight w:val="none"/>
        </w:rPr>
        <w:t>工厂的速冻玉米产品，</w:t>
      </w:r>
      <w:r>
        <w:rPr>
          <w:rFonts w:hint="eastAsia" w:ascii="仿宋_GB2312" w:hAnsi="仿宋_GB2312" w:eastAsia="仿宋_GB2312" w:cs="仿宋_GB2312"/>
          <w:color w:val="auto"/>
          <w:sz w:val="28"/>
          <w:szCs w:val="28"/>
          <w:highlight w:val="none"/>
        </w:rPr>
        <w:t>订立如下条款，双方共同</w:t>
      </w:r>
      <w:r>
        <w:rPr>
          <w:rFonts w:hint="eastAsia" w:ascii="仿宋_GB2312" w:hAnsi="仿宋_GB2312" w:eastAsia="仿宋_GB2312" w:cs="仿宋_GB2312"/>
          <w:color w:val="auto"/>
          <w:sz w:val="28"/>
          <w:szCs w:val="28"/>
          <w:highlight w:val="none"/>
          <w:lang w:eastAsia="zh-CN"/>
        </w:rPr>
        <w:t>遵守</w:t>
      </w:r>
      <w:r>
        <w:rPr>
          <w:rFonts w:hint="eastAsia" w:ascii="仿宋_GB2312" w:hAnsi="仿宋_GB2312" w:eastAsia="仿宋_GB2312" w:cs="仿宋_GB2312"/>
          <w:color w:val="auto"/>
          <w:sz w:val="28"/>
          <w:szCs w:val="28"/>
          <w:highlight w:val="none"/>
        </w:rPr>
        <w:t>：</w:t>
      </w:r>
    </w:p>
    <w:p w14:paraId="0E26A45A">
      <w:pPr>
        <w:pStyle w:val="16"/>
        <w:numPr>
          <w:ilvl w:val="0"/>
          <w:numId w:val="0"/>
        </w:numPr>
        <w:spacing w:line="360" w:lineRule="auto"/>
        <w:ind w:left="1288" w:leftChars="0" w:hanging="720" w:firstLineChars="0"/>
        <w:rPr>
          <w:rFonts w:hint="eastAsia" w:ascii="仿宋_GB2312" w:hAnsi="仿宋_GB2312" w:eastAsia="仿宋_GB2312" w:cs="仿宋_GB2312"/>
          <w:b/>
          <w:color w:val="auto"/>
          <w:sz w:val="28"/>
          <w:szCs w:val="28"/>
          <w:highlight w:val="none"/>
        </w:rPr>
      </w:pPr>
      <w:r>
        <w:rPr>
          <w:rFonts w:hint="default" w:ascii="仿宋_GB2312" w:hAnsi="仿宋_GB2312" w:eastAsia="仿宋_GB2312" w:cs="仿宋_GB2312"/>
          <w:b/>
          <w:color w:val="auto"/>
          <w:kern w:val="2"/>
          <w:sz w:val="28"/>
          <w:szCs w:val="28"/>
          <w:highlight w:val="none"/>
          <w:lang w:val="en-US" w:eastAsia="zh-CN" w:bidi="ar-SA"/>
        </w:rPr>
        <w:t>第一条</w:t>
      </w:r>
      <w:r>
        <w:rPr>
          <w:rFonts w:hint="eastAsia" w:ascii="仿宋_GB2312" w:hAnsi="仿宋_GB2312" w:eastAsia="仿宋_GB2312" w:cs="仿宋_GB2312"/>
          <w:b/>
          <w:color w:val="auto"/>
          <w:kern w:val="2"/>
          <w:sz w:val="28"/>
          <w:szCs w:val="28"/>
          <w:highlight w:val="none"/>
          <w:lang w:val="en-US" w:eastAsia="zh-CN" w:bidi="ar-SA"/>
        </w:rPr>
        <w:t xml:space="preserve"> </w:t>
      </w:r>
      <w:r>
        <w:rPr>
          <w:rFonts w:hint="eastAsia" w:ascii="仿宋_GB2312" w:hAnsi="仿宋_GB2312" w:eastAsia="仿宋_GB2312" w:cs="仿宋_GB2312"/>
          <w:b/>
          <w:color w:val="auto"/>
          <w:sz w:val="28"/>
          <w:szCs w:val="28"/>
          <w:highlight w:val="none"/>
        </w:rPr>
        <w:t>双方合作关系：</w:t>
      </w:r>
    </w:p>
    <w:p w14:paraId="18D57FE8">
      <w:pPr>
        <w:pStyle w:val="16"/>
        <w:spacing w:line="360" w:lineRule="auto"/>
        <w:ind w:firstLine="56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1.</w:t>
      </w:r>
      <w:r>
        <w:rPr>
          <w:rFonts w:hint="eastAsia" w:ascii="仿宋_GB2312" w:hAnsi="仿宋_GB2312" w:eastAsia="仿宋_GB2312" w:cs="仿宋_GB2312"/>
          <w:color w:val="auto"/>
          <w:sz w:val="28"/>
          <w:szCs w:val="28"/>
          <w:highlight w:val="none"/>
        </w:rPr>
        <w:t>乙方应以独立个体之名义签订本合同及经销甲方产品。乙方非甲方之合伙人、合资人或加盟商，亦无权以任何方式约束甲方，或代表甲方做出任何意思表示。乙方之受雇人及分销商皆非甲方之受雇人及分销商，乙方不得对任何人做出与前述相反的意思表示。</w:t>
      </w:r>
    </w:p>
    <w:p w14:paraId="18AC5899">
      <w:pPr>
        <w:pStyle w:val="16"/>
        <w:spacing w:line="360" w:lineRule="auto"/>
        <w:ind w:firstLine="560"/>
        <w:jc w:val="lef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2.</w:t>
      </w:r>
      <w:bookmarkStart w:id="3" w:name="auto_fouce_4"/>
      <w:r>
        <w:rPr>
          <w:rFonts w:hint="eastAsia" w:ascii="仿宋_GB2312" w:hAnsi="仿宋_GB2312" w:eastAsia="仿宋_GB2312" w:cs="仿宋_GB2312"/>
          <w:color w:val="auto"/>
          <w:sz w:val="28"/>
          <w:szCs w:val="28"/>
          <w:highlight w:val="none"/>
        </w:rPr>
        <w:t>甲、乙双方各自独立经营，甲方对于乙方经销甲方产品未作任何盈利保证，乙方对于自身经营行为应自负其责，自负盈亏。乙方不得以任何理由要求甲方为其弥补亏损</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进行利润补贴</w:t>
      </w:r>
      <w:r>
        <w:rPr>
          <w:rFonts w:hint="eastAsia" w:ascii="仿宋_GB2312" w:hAnsi="仿宋_GB2312" w:eastAsia="仿宋_GB2312" w:cs="仿宋_GB2312"/>
          <w:color w:val="auto"/>
          <w:sz w:val="28"/>
          <w:szCs w:val="28"/>
          <w:highlight w:val="none"/>
          <w:lang w:eastAsia="zh-CN"/>
        </w:rPr>
        <w:t>或承担</w:t>
      </w:r>
      <w:r>
        <w:rPr>
          <w:rFonts w:hint="eastAsia" w:ascii="仿宋_GB2312" w:hAnsi="仿宋_GB2312" w:eastAsia="仿宋_GB2312" w:cs="仿宋_GB2312"/>
          <w:color w:val="auto"/>
          <w:sz w:val="28"/>
          <w:szCs w:val="28"/>
          <w:highlight w:val="none"/>
        </w:rPr>
        <w:t>任何库存</w:t>
      </w:r>
      <w:r>
        <w:rPr>
          <w:rFonts w:hint="eastAsia" w:ascii="仿宋_GB2312" w:hAnsi="仿宋_GB2312" w:eastAsia="仿宋_GB2312" w:cs="仿宋_GB2312"/>
          <w:color w:val="auto"/>
          <w:sz w:val="28"/>
          <w:szCs w:val="28"/>
          <w:highlight w:val="none"/>
          <w:lang w:eastAsia="zh-CN"/>
        </w:rPr>
        <w:t>滞销风险及库存费用</w:t>
      </w:r>
      <w:r>
        <w:rPr>
          <w:rFonts w:hint="eastAsia" w:ascii="仿宋_GB2312" w:hAnsi="仿宋_GB2312" w:eastAsia="仿宋_GB2312" w:cs="仿宋_GB2312"/>
          <w:color w:val="auto"/>
          <w:sz w:val="28"/>
          <w:szCs w:val="28"/>
          <w:highlight w:val="none"/>
        </w:rPr>
        <w:t>。</w:t>
      </w:r>
      <w:bookmarkEnd w:id="3"/>
    </w:p>
    <w:p w14:paraId="553A9615">
      <w:pPr>
        <w:pStyle w:val="16"/>
        <w:spacing w:line="360" w:lineRule="auto"/>
        <w:ind w:firstLine="560"/>
        <w:jc w:val="lef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3.乙方承诺</w:t>
      </w:r>
    </w:p>
    <w:p w14:paraId="7A261D1B">
      <w:pPr>
        <w:pStyle w:val="16"/>
        <w:spacing w:line="360" w:lineRule="auto"/>
        <w:ind w:firstLine="560"/>
        <w:jc w:val="left"/>
        <w:rPr>
          <w:rFonts w:hint="eastAsia" w:ascii="仿宋_GB2312" w:hAnsi="仿宋_GB2312" w:eastAsia="仿宋_GB2312" w:cs="仿宋_GB2312"/>
          <w:color w:val="auto"/>
          <w:spacing w:val="8"/>
          <w:sz w:val="28"/>
          <w:szCs w:val="28"/>
          <w:highlight w:val="none"/>
          <w:shd w:val="clear" w:color="auto" w:fill="FFFFFF"/>
        </w:rPr>
      </w:pPr>
      <w:bookmarkStart w:id="4" w:name="auto_fouce_5"/>
      <w:r>
        <w:rPr>
          <w:rFonts w:hint="eastAsia" w:ascii="仿宋_GB2312" w:hAnsi="仿宋_GB2312" w:eastAsia="仿宋_GB2312" w:cs="仿宋_GB2312"/>
          <w:color w:val="auto"/>
          <w:spacing w:val="8"/>
          <w:sz w:val="28"/>
          <w:szCs w:val="28"/>
          <w:highlight w:val="none"/>
          <w:shd w:val="clear" w:color="auto" w:fill="FFFFFF"/>
          <w:lang w:eastAsia="zh-CN"/>
        </w:rPr>
        <w:t>乙方保证其用于签订合同的营业执照及相关许可在本合同有效期（包括续约有效期）内均有效、真实，且内容符合甲方的要求，可以从事本合同约定的经营活动。乙方保证，若因乙方与任何第三方的关系导致甲方被追究责任或遭受损失的，乙方应全额赔偿甲方因此产生的全部支出及损失。</w:t>
      </w:r>
      <w:bookmarkEnd w:id="4"/>
    </w:p>
    <w:p w14:paraId="4A1A8A66">
      <w:pPr>
        <w:pStyle w:val="16"/>
        <w:numPr>
          <w:ilvl w:val="0"/>
          <w:numId w:val="0"/>
        </w:numPr>
        <w:spacing w:line="360" w:lineRule="auto"/>
        <w:ind w:firstLine="592" w:firstLineChars="200"/>
        <w:jc w:val="left"/>
        <w:rPr>
          <w:rFonts w:hint="eastAsia" w:ascii="仿宋_GB2312" w:hAnsi="仿宋_GB2312" w:eastAsia="仿宋_GB2312" w:cs="仿宋_GB2312"/>
          <w:color w:val="auto"/>
          <w:spacing w:val="8"/>
          <w:sz w:val="28"/>
          <w:szCs w:val="28"/>
          <w:highlight w:val="none"/>
          <w:shd w:val="clear" w:color="auto" w:fill="FFFFFF"/>
          <w:lang w:val="en-US" w:eastAsia="zh-CN"/>
        </w:rPr>
      </w:pPr>
      <w:r>
        <w:rPr>
          <w:rFonts w:hint="eastAsia" w:ascii="仿宋_GB2312" w:hAnsi="仿宋_GB2312" w:eastAsia="仿宋_GB2312" w:cs="仿宋_GB2312"/>
          <w:color w:val="auto"/>
          <w:spacing w:val="8"/>
          <w:kern w:val="2"/>
          <w:sz w:val="28"/>
          <w:szCs w:val="28"/>
          <w:highlight w:val="none"/>
          <w:shd w:val="clear" w:color="auto" w:fill="FFFFFF"/>
          <w:lang w:val="en-US" w:eastAsia="zh-CN" w:bidi="ar-SA"/>
        </w:rPr>
        <w:t>4.</w:t>
      </w:r>
      <w:bookmarkStart w:id="5" w:name="tip_risk_bookmark_6"/>
      <w:r>
        <w:rPr>
          <w:rFonts w:hint="eastAsia" w:ascii="仿宋_GB2312" w:hAnsi="仿宋_GB2312" w:eastAsia="仿宋_GB2312" w:cs="仿宋_GB2312"/>
          <w:color w:val="auto"/>
          <w:spacing w:val="8"/>
          <w:sz w:val="28"/>
          <w:szCs w:val="28"/>
          <w:highlight w:val="none"/>
          <w:shd w:val="clear" w:color="auto" w:fill="FFFFFF"/>
          <w:lang w:val="en-US" w:eastAsia="zh-CN"/>
        </w:rPr>
        <w:t>品牌使用限制</w:t>
      </w:r>
    </w:p>
    <w:p w14:paraId="2450566E">
      <w:pPr>
        <w:pStyle w:val="16"/>
        <w:spacing w:line="360" w:lineRule="auto"/>
        <w:ind w:firstLine="560"/>
        <w:jc w:val="left"/>
        <w:rPr>
          <w:rFonts w:hint="eastAsia" w:ascii="仿宋_GB2312" w:hAnsi="仿宋_GB2312" w:eastAsia="仿宋_GB2312" w:cs="仿宋_GB2312"/>
          <w:color w:val="auto"/>
          <w:spacing w:val="8"/>
          <w:sz w:val="28"/>
          <w:szCs w:val="28"/>
          <w:highlight w:val="none"/>
          <w:shd w:val="clear" w:color="auto" w:fill="FFFFFF"/>
          <w:lang w:val="en-US" w:eastAsia="zh-CN"/>
        </w:rPr>
      </w:pPr>
      <w:bookmarkStart w:id="6" w:name="auto_fouce_7"/>
      <w:r>
        <w:rPr>
          <w:rFonts w:hint="eastAsia" w:ascii="仿宋_GB2312" w:hAnsi="仿宋_GB2312" w:eastAsia="仿宋_GB2312" w:cs="仿宋_GB2312"/>
          <w:color w:val="auto"/>
          <w:spacing w:val="8"/>
          <w:sz w:val="28"/>
          <w:szCs w:val="28"/>
          <w:highlight w:val="none"/>
          <w:shd w:val="clear" w:color="auto" w:fill="FFFFFF"/>
          <w:lang w:val="en-US" w:eastAsia="zh-CN"/>
        </w:rPr>
        <w:t>甲方向乙方供应的玉米，仅为北大荒产地/产区原料，不附带任何“北大荒”品牌授权。乙方不得以任何形式、任何场景使用“北大荒”相关品牌标识、名称、商标、字号、简称、图形、广告语等（包括但不限于“北大荒玉米”“北大荒原料”“北大荒出品”“北大荒直供”等表述）。乙方仅可如实标注原料产地/来源（如“黑龙江玉米”“东北玉米”），不得使用“北大荒”字样及任何近似表述。乙方不得向第三方泄露甲方供应渠道，不得诱导第三方使用“北大荒”品牌。</w:t>
      </w:r>
      <w:bookmarkEnd w:id="5"/>
      <w:bookmarkEnd w:id="6"/>
    </w:p>
    <w:p w14:paraId="5B0B26A1">
      <w:pPr>
        <w:pStyle w:val="16"/>
        <w:numPr>
          <w:ilvl w:val="0"/>
          <w:numId w:val="0"/>
        </w:numPr>
        <w:spacing w:line="360" w:lineRule="auto"/>
        <w:ind w:left="1288" w:leftChars="0" w:hanging="720" w:firstLineChars="0"/>
        <w:rPr>
          <w:rFonts w:hint="eastAsia" w:ascii="仿宋_GB2312" w:hAnsi="仿宋_GB2312" w:eastAsia="仿宋_GB2312" w:cs="仿宋_GB2312"/>
          <w:b/>
          <w:color w:val="auto"/>
          <w:sz w:val="28"/>
          <w:szCs w:val="28"/>
          <w:highlight w:val="none"/>
        </w:rPr>
      </w:pPr>
      <w:r>
        <w:rPr>
          <w:rFonts w:hint="default" w:ascii="仿宋_GB2312" w:hAnsi="仿宋_GB2312" w:eastAsia="仿宋_GB2312" w:cs="仿宋_GB2312"/>
          <w:b/>
          <w:color w:val="auto"/>
          <w:kern w:val="2"/>
          <w:sz w:val="28"/>
          <w:szCs w:val="28"/>
          <w:highlight w:val="none"/>
          <w:lang w:val="en-US" w:eastAsia="zh-CN" w:bidi="ar-SA"/>
        </w:rPr>
        <w:t>第二条</w:t>
      </w:r>
      <w:r>
        <w:rPr>
          <w:rFonts w:hint="eastAsia" w:ascii="仿宋_GB2312" w:hAnsi="仿宋_GB2312" w:eastAsia="仿宋_GB2312" w:cs="仿宋_GB2312"/>
          <w:b/>
          <w:color w:val="auto"/>
          <w:kern w:val="2"/>
          <w:sz w:val="28"/>
          <w:szCs w:val="28"/>
          <w:highlight w:val="none"/>
          <w:lang w:val="en-US" w:eastAsia="zh-CN" w:bidi="ar-SA"/>
        </w:rPr>
        <w:t xml:space="preserve"> </w:t>
      </w:r>
      <w:bookmarkStart w:id="7" w:name="tip_risk_bookmark_8"/>
      <w:r>
        <w:rPr>
          <w:rFonts w:hint="eastAsia" w:ascii="仿宋_GB2312" w:hAnsi="仿宋_GB2312" w:eastAsia="仿宋_GB2312" w:cs="仿宋_GB2312"/>
          <w:b/>
          <w:color w:val="auto"/>
          <w:sz w:val="28"/>
          <w:szCs w:val="28"/>
          <w:highlight w:val="none"/>
        </w:rPr>
        <w:t>销售产品数量及价格：</w:t>
      </w:r>
    </w:p>
    <w:p w14:paraId="6EE09284">
      <w:pPr>
        <w:spacing w:line="360" w:lineRule="auto"/>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1.</w:t>
      </w:r>
      <w:bookmarkStart w:id="8" w:name="tip_risk_bookmark_9"/>
      <w:r>
        <w:rPr>
          <w:rFonts w:hint="eastAsia" w:ascii="仿宋_GB2312" w:hAnsi="仿宋_GB2312" w:eastAsia="仿宋_GB2312" w:cs="仿宋_GB2312"/>
          <w:color w:val="auto"/>
          <w:sz w:val="28"/>
          <w:szCs w:val="28"/>
          <w:highlight w:val="none"/>
        </w:rPr>
        <w:t>甲方向乙方供应甲</w:t>
      </w:r>
      <w:r>
        <w:rPr>
          <w:rFonts w:hint="eastAsia" w:ascii="仿宋_GB2312" w:hAnsi="仿宋_GB2312" w:eastAsia="仿宋_GB2312" w:cs="仿宋_GB2312"/>
          <w:color w:val="auto"/>
          <w:sz w:val="28"/>
          <w:szCs w:val="28"/>
          <w:highlight w:val="none"/>
          <w:lang w:val="en-US" w:eastAsia="zh-CN"/>
        </w:rPr>
        <w:t>方</w:t>
      </w:r>
      <w:r>
        <w:rPr>
          <w:rFonts w:hint="eastAsia" w:ascii="仿宋_GB2312" w:hAnsi="仿宋_GB2312" w:eastAsia="仿宋_GB2312" w:cs="仿宋_GB2312"/>
          <w:color w:val="auto"/>
          <w:sz w:val="28"/>
          <w:szCs w:val="28"/>
          <w:highlight w:val="none"/>
        </w:rPr>
        <w:t>公司生产的</w:t>
      </w:r>
      <w:r>
        <w:rPr>
          <w:rFonts w:hint="eastAsia" w:ascii="仿宋_GB2312" w:hAnsi="仿宋_GB2312" w:eastAsia="仿宋_GB2312" w:cs="仿宋_GB2312"/>
          <w:color w:val="auto"/>
          <w:sz w:val="28"/>
          <w:szCs w:val="28"/>
          <w:highlight w:val="none"/>
          <w:u w:val="single"/>
        </w:rPr>
        <w:t>速冻玉米</w:t>
      </w:r>
      <w:r>
        <w:rPr>
          <w:rFonts w:hint="eastAsia" w:ascii="仿宋_GB2312" w:hAnsi="仿宋_GB2312" w:eastAsia="仿宋_GB2312" w:cs="仿宋_GB2312"/>
          <w:color w:val="auto"/>
          <w:sz w:val="28"/>
          <w:szCs w:val="28"/>
          <w:highlight w:val="none"/>
        </w:rPr>
        <w:t>产品，并按照双方约定的价格供货，每次购买，乙方须提前</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日以</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形式向甲方发出订货单，甲乙双方系买卖合同关系。</w:t>
      </w:r>
      <w:bookmarkEnd w:id="8"/>
    </w:p>
    <w:p w14:paraId="2D9BA57D">
      <w:pPr>
        <w:pStyle w:val="16"/>
        <w:spacing w:line="360" w:lineRule="auto"/>
        <w:ind w:firstLine="560"/>
        <w:rPr>
          <w:rFonts w:hint="default" w:ascii="仿宋_GB2312" w:hAnsi="仿宋_GB2312" w:eastAsia="仿宋_GB2312" w:cs="仿宋_GB2312"/>
          <w:color w:val="auto"/>
          <w:sz w:val="28"/>
          <w:szCs w:val="28"/>
          <w:highlight w:val="none"/>
          <w:u w:val="none"/>
          <w:lang w:val="en-US" w:eastAsia="zh-CN"/>
        </w:rPr>
      </w:pPr>
      <w:r>
        <w:rPr>
          <w:rFonts w:hint="eastAsia" w:ascii="仿宋_GB2312" w:hAnsi="仿宋_GB2312" w:eastAsia="仿宋_GB2312" w:cs="仿宋_GB2312"/>
          <w:color w:val="auto"/>
          <w:sz w:val="28"/>
          <w:szCs w:val="28"/>
          <w:highlight w:val="none"/>
        </w:rPr>
        <w:t>2</w:t>
      </w:r>
      <w:r>
        <w:rPr>
          <w:rFonts w:ascii="仿宋_GB2312" w:hAnsi="仿宋_GB2312" w:eastAsia="仿宋_GB2312" w:cs="仿宋_GB2312"/>
          <w:color w:val="auto"/>
          <w:sz w:val="28"/>
          <w:szCs w:val="28"/>
          <w:highlight w:val="none"/>
        </w:rPr>
        <w:t>.</w:t>
      </w:r>
      <w:bookmarkStart w:id="9" w:name="tip_risk_bookmark_11"/>
      <w:bookmarkStart w:id="10" w:name="tip_risk_bookmark_10"/>
      <w:r>
        <w:rPr>
          <w:rFonts w:hint="eastAsia" w:ascii="仿宋_GB2312" w:hAnsi="仿宋_GB2312" w:eastAsia="仿宋_GB2312" w:cs="仿宋_GB2312"/>
          <w:color w:val="auto"/>
          <w:sz w:val="28"/>
          <w:szCs w:val="28"/>
          <w:highlight w:val="none"/>
          <w:lang w:val="en-US" w:eastAsia="zh-CN"/>
        </w:rPr>
        <w:t>产品说明</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val="en-US" w:eastAsia="zh-CN"/>
        </w:rPr>
        <w:t>本合同下的产品为乙方通过竞拍方式取得，双方确认本合同下标的物产品为乙方通过</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en-US" w:eastAsia="zh-CN"/>
        </w:rPr>
        <w:t>平台于</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en-US" w:eastAsia="zh-CN"/>
        </w:rPr>
        <w:t>年</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en-US" w:eastAsia="zh-CN"/>
        </w:rPr>
        <w:t>月</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en-US" w:eastAsia="zh-CN"/>
        </w:rPr>
        <w:t>日竞拍成交的第</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en-US" w:eastAsia="zh-CN"/>
        </w:rPr>
        <w:t>号标段，标段名称：</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none"/>
          <w:lang w:val="en-US" w:eastAsia="zh-CN"/>
        </w:rPr>
        <w:t>，</w:t>
      </w:r>
      <w:bookmarkEnd w:id="7"/>
      <w:bookmarkEnd w:id="9"/>
    </w:p>
    <w:tbl>
      <w:tblPr>
        <w:tblStyle w:val="8"/>
        <w:tblW w:w="517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87"/>
        <w:gridCol w:w="1144"/>
        <w:gridCol w:w="1276"/>
        <w:gridCol w:w="1501"/>
        <w:gridCol w:w="1313"/>
        <w:gridCol w:w="1471"/>
        <w:gridCol w:w="1283"/>
      </w:tblGrid>
      <w:tr w14:paraId="46C4C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9" w:hRule="atLeast"/>
        </w:trPr>
        <w:tc>
          <w:tcPr>
            <w:tcW w:w="739" w:type="pct"/>
            <w:tcBorders>
              <w:top w:val="single" w:color="000000" w:sz="4" w:space="0"/>
              <w:left w:val="single" w:color="000000" w:sz="4" w:space="0"/>
              <w:bottom w:val="single" w:color="000000" w:sz="4" w:space="0"/>
              <w:right w:val="single" w:color="000000" w:sz="4" w:space="0"/>
            </w:tcBorders>
            <w:noWrap/>
            <w:vAlign w:val="center"/>
          </w:tcPr>
          <w:p w14:paraId="6E6F9A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标段</w:t>
            </w:r>
          </w:p>
        </w:tc>
        <w:tc>
          <w:tcPr>
            <w:tcW w:w="610" w:type="pct"/>
            <w:tcBorders>
              <w:top w:val="single" w:color="000000" w:sz="4" w:space="0"/>
              <w:left w:val="single" w:color="000000" w:sz="4" w:space="0"/>
              <w:bottom w:val="single" w:color="000000" w:sz="4" w:space="0"/>
              <w:right w:val="single" w:color="000000" w:sz="4" w:space="0"/>
            </w:tcBorders>
          </w:tcPr>
          <w:p w14:paraId="678C8585">
            <w:pPr>
              <w:keepNext w:val="0"/>
              <w:keepLines w:val="0"/>
              <w:widowControl/>
              <w:suppressLineNumbers w:val="0"/>
              <w:jc w:val="center"/>
              <w:textAlignment w:val="top"/>
              <w:rPr>
                <w:rFonts w:hint="eastAsia" w:ascii="仿宋_GB2312" w:hAnsi="宋体" w:eastAsia="仿宋_GB2312" w:cs="仿宋_GB2312"/>
                <w:i w:val="0"/>
                <w:iCs w:val="0"/>
                <w:color w:val="auto"/>
                <w:kern w:val="0"/>
                <w:sz w:val="24"/>
                <w:szCs w:val="24"/>
                <w:highlight w:val="none"/>
                <w:u w:val="none"/>
                <w:lang w:val="en-US" w:eastAsia="zh-CN" w:bidi="ar"/>
              </w:rPr>
            </w:pPr>
          </w:p>
          <w:p w14:paraId="142F5F14">
            <w:pPr>
              <w:keepNext w:val="0"/>
              <w:keepLines w:val="0"/>
              <w:widowControl/>
              <w:suppressLineNumbers w:val="0"/>
              <w:jc w:val="center"/>
              <w:textAlignment w:val="top"/>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包装形式</w:t>
            </w:r>
          </w:p>
        </w:tc>
        <w:tc>
          <w:tcPr>
            <w:tcW w:w="680" w:type="pct"/>
            <w:tcBorders>
              <w:top w:val="single" w:color="000000" w:sz="4" w:space="0"/>
              <w:left w:val="single" w:color="000000" w:sz="4" w:space="0"/>
              <w:bottom w:val="single" w:color="000000" w:sz="4" w:space="0"/>
              <w:right w:val="single" w:color="000000" w:sz="4" w:space="0"/>
            </w:tcBorders>
          </w:tcPr>
          <w:p w14:paraId="78F9C03C">
            <w:pPr>
              <w:keepNext w:val="0"/>
              <w:keepLines w:val="0"/>
              <w:widowControl/>
              <w:suppressLineNumbers w:val="0"/>
              <w:jc w:val="center"/>
              <w:textAlignment w:val="top"/>
              <w:rPr>
                <w:rFonts w:hint="eastAsia" w:ascii="仿宋_GB2312" w:hAnsi="宋体" w:eastAsia="仿宋_GB2312" w:cs="仿宋_GB2312"/>
                <w:i w:val="0"/>
                <w:iCs w:val="0"/>
                <w:color w:val="auto"/>
                <w:kern w:val="0"/>
                <w:sz w:val="24"/>
                <w:szCs w:val="24"/>
                <w:highlight w:val="none"/>
                <w:u w:val="none"/>
                <w:lang w:val="en-US" w:eastAsia="zh-CN" w:bidi="ar"/>
              </w:rPr>
            </w:pPr>
          </w:p>
          <w:p w14:paraId="34B60A23">
            <w:pPr>
              <w:keepNext w:val="0"/>
              <w:keepLines w:val="0"/>
              <w:widowControl/>
              <w:suppressLineNumbers w:val="0"/>
              <w:jc w:val="center"/>
              <w:textAlignment w:val="top"/>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规格</w:t>
            </w:r>
          </w:p>
        </w:tc>
        <w:tc>
          <w:tcPr>
            <w:tcW w:w="800" w:type="pct"/>
            <w:tcBorders>
              <w:top w:val="single" w:color="000000" w:sz="4" w:space="0"/>
              <w:left w:val="single" w:color="000000" w:sz="4" w:space="0"/>
              <w:bottom w:val="single" w:color="000000" w:sz="4" w:space="0"/>
              <w:right w:val="single" w:color="000000" w:sz="4" w:space="0"/>
            </w:tcBorders>
          </w:tcPr>
          <w:p w14:paraId="33BE0431">
            <w:pPr>
              <w:keepNext w:val="0"/>
              <w:keepLines w:val="0"/>
              <w:widowControl/>
              <w:suppressLineNumbers w:val="0"/>
              <w:jc w:val="center"/>
              <w:textAlignment w:val="top"/>
              <w:rPr>
                <w:rFonts w:hint="eastAsia" w:ascii="仿宋_GB2312" w:hAnsi="宋体" w:eastAsia="仿宋_GB2312" w:cs="仿宋_GB2312"/>
                <w:i w:val="0"/>
                <w:iCs w:val="0"/>
                <w:color w:val="auto"/>
                <w:kern w:val="0"/>
                <w:sz w:val="24"/>
                <w:szCs w:val="24"/>
                <w:highlight w:val="none"/>
                <w:u w:val="none"/>
                <w:lang w:val="en-US" w:eastAsia="zh-CN" w:bidi="ar"/>
              </w:rPr>
            </w:pPr>
          </w:p>
          <w:p w14:paraId="143C7432">
            <w:pPr>
              <w:keepNext w:val="0"/>
              <w:keepLines w:val="0"/>
              <w:widowControl/>
              <w:suppressLineNumbers w:val="0"/>
              <w:jc w:val="center"/>
              <w:textAlignment w:val="top"/>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数量</w:t>
            </w:r>
          </w:p>
        </w:tc>
        <w:tc>
          <w:tcPr>
            <w:tcW w:w="700" w:type="pct"/>
            <w:tcBorders>
              <w:top w:val="single" w:color="000000" w:sz="4" w:space="0"/>
              <w:left w:val="single" w:color="000000" w:sz="4" w:space="0"/>
              <w:bottom w:val="single" w:color="000000" w:sz="4" w:space="0"/>
              <w:right w:val="single" w:color="000000" w:sz="4" w:space="0"/>
            </w:tcBorders>
          </w:tcPr>
          <w:p w14:paraId="074364D2">
            <w:pPr>
              <w:keepNext w:val="0"/>
              <w:keepLines w:val="0"/>
              <w:widowControl/>
              <w:suppressLineNumbers w:val="0"/>
              <w:jc w:val="center"/>
              <w:textAlignment w:val="top"/>
              <w:rPr>
                <w:rFonts w:hint="eastAsia" w:ascii="仿宋_GB2312" w:hAnsi="宋体" w:eastAsia="仿宋_GB2312" w:cs="仿宋_GB2312"/>
                <w:i w:val="0"/>
                <w:iCs w:val="0"/>
                <w:color w:val="auto"/>
                <w:kern w:val="0"/>
                <w:sz w:val="24"/>
                <w:szCs w:val="24"/>
                <w:highlight w:val="none"/>
                <w:u w:val="none"/>
                <w:lang w:val="en-US" w:eastAsia="zh-CN" w:bidi="ar"/>
              </w:rPr>
            </w:pPr>
          </w:p>
          <w:p w14:paraId="459242B0">
            <w:pPr>
              <w:keepNext w:val="0"/>
              <w:keepLines w:val="0"/>
              <w:widowControl/>
              <w:suppressLineNumbers w:val="0"/>
              <w:jc w:val="center"/>
              <w:textAlignment w:val="top"/>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价税合计（元）</w:t>
            </w:r>
          </w:p>
        </w:tc>
        <w:tc>
          <w:tcPr>
            <w:tcW w:w="784" w:type="pct"/>
            <w:tcBorders>
              <w:top w:val="single" w:color="000000" w:sz="4" w:space="0"/>
              <w:left w:val="single" w:color="000000" w:sz="4" w:space="0"/>
              <w:bottom w:val="single" w:color="000000" w:sz="4" w:space="0"/>
              <w:right w:val="single" w:color="000000" w:sz="4" w:space="0"/>
            </w:tcBorders>
          </w:tcPr>
          <w:p w14:paraId="06C47B3F">
            <w:pPr>
              <w:keepNext w:val="0"/>
              <w:keepLines w:val="0"/>
              <w:widowControl/>
              <w:suppressLineNumbers w:val="0"/>
              <w:jc w:val="center"/>
              <w:textAlignment w:val="top"/>
              <w:rPr>
                <w:rFonts w:hint="eastAsia" w:ascii="仿宋_GB2312" w:hAnsi="宋体" w:eastAsia="仿宋_GB2312" w:cs="仿宋_GB2312"/>
                <w:i w:val="0"/>
                <w:iCs w:val="0"/>
                <w:color w:val="auto"/>
                <w:kern w:val="0"/>
                <w:sz w:val="24"/>
                <w:szCs w:val="24"/>
                <w:highlight w:val="none"/>
                <w:u w:val="none"/>
                <w:lang w:val="en-US" w:eastAsia="zh-CN" w:bidi="ar"/>
              </w:rPr>
            </w:pPr>
          </w:p>
          <w:p w14:paraId="53483AAB">
            <w:pPr>
              <w:keepNext w:val="0"/>
              <w:keepLines w:val="0"/>
              <w:widowControl/>
              <w:suppressLineNumbers w:val="0"/>
              <w:jc w:val="center"/>
              <w:textAlignment w:val="top"/>
              <w:rPr>
                <w:rFonts w:hint="default" w:ascii="仿宋_GB2312" w:hAnsi="宋体" w:eastAsia="仿宋_GB2312" w:cs="仿宋_GB2312"/>
                <w:i w:val="0"/>
                <w:iCs w:val="0"/>
                <w:color w:val="auto"/>
                <w:kern w:val="0"/>
                <w:sz w:val="24"/>
                <w:szCs w:val="24"/>
                <w:highlight w:val="none"/>
                <w:u w:val="none"/>
                <w:lang w:val="en-US" w:eastAsia="zh-CN" w:bidi="ar"/>
              </w:rPr>
            </w:pPr>
            <w:r>
              <w:rPr>
                <w:rFonts w:hint="eastAsia" w:ascii="仿宋_GB2312" w:hAnsi="宋体" w:eastAsia="仿宋_GB2312" w:cs="仿宋_GB2312"/>
                <w:i w:val="0"/>
                <w:iCs w:val="0"/>
                <w:color w:val="auto"/>
                <w:kern w:val="0"/>
                <w:sz w:val="24"/>
                <w:szCs w:val="24"/>
                <w:highlight w:val="none"/>
                <w:u w:val="none"/>
                <w:lang w:val="en-US" w:eastAsia="zh-CN" w:bidi="ar"/>
              </w:rPr>
              <w:t>金额（元）</w:t>
            </w:r>
          </w:p>
        </w:tc>
        <w:tc>
          <w:tcPr>
            <w:tcW w:w="684" w:type="pct"/>
            <w:tcBorders>
              <w:top w:val="single" w:color="000000" w:sz="4" w:space="0"/>
              <w:left w:val="single" w:color="000000" w:sz="4" w:space="0"/>
              <w:bottom w:val="single" w:color="000000" w:sz="4" w:space="0"/>
              <w:right w:val="single" w:color="000000" w:sz="4" w:space="0"/>
            </w:tcBorders>
          </w:tcPr>
          <w:p w14:paraId="038887CE">
            <w:pPr>
              <w:keepNext w:val="0"/>
              <w:keepLines w:val="0"/>
              <w:widowControl/>
              <w:suppressLineNumbers w:val="0"/>
              <w:jc w:val="center"/>
              <w:textAlignment w:val="top"/>
              <w:rPr>
                <w:rFonts w:hint="eastAsia" w:ascii="仿宋_GB2312" w:hAnsi="宋体" w:eastAsia="仿宋_GB2312" w:cs="仿宋_GB2312"/>
                <w:i w:val="0"/>
                <w:iCs w:val="0"/>
                <w:color w:val="auto"/>
                <w:kern w:val="0"/>
                <w:sz w:val="24"/>
                <w:szCs w:val="24"/>
                <w:highlight w:val="none"/>
                <w:u w:val="none"/>
                <w:lang w:val="en-US" w:eastAsia="zh-CN" w:bidi="ar"/>
              </w:rPr>
            </w:pPr>
          </w:p>
          <w:p w14:paraId="4A761BD3">
            <w:pPr>
              <w:keepNext w:val="0"/>
              <w:keepLines w:val="0"/>
              <w:widowControl/>
              <w:suppressLineNumbers w:val="0"/>
              <w:jc w:val="center"/>
              <w:textAlignment w:val="top"/>
              <w:rPr>
                <w:rFonts w:hint="default" w:ascii="仿宋_GB2312" w:hAnsi="宋体" w:eastAsia="仿宋_GB2312" w:cs="仿宋_GB2312"/>
                <w:i w:val="0"/>
                <w:iCs w:val="0"/>
                <w:color w:val="auto"/>
                <w:kern w:val="0"/>
                <w:sz w:val="24"/>
                <w:szCs w:val="24"/>
                <w:highlight w:val="none"/>
                <w:u w:val="none"/>
                <w:lang w:val="en-US" w:eastAsia="zh-CN" w:bidi="ar"/>
              </w:rPr>
            </w:pPr>
            <w:r>
              <w:rPr>
                <w:rFonts w:hint="eastAsia" w:ascii="仿宋_GB2312" w:hAnsi="宋体" w:eastAsia="仿宋_GB2312" w:cs="仿宋_GB2312"/>
                <w:i w:val="0"/>
                <w:iCs w:val="0"/>
                <w:color w:val="auto"/>
                <w:kern w:val="0"/>
                <w:sz w:val="24"/>
                <w:szCs w:val="24"/>
                <w:highlight w:val="none"/>
                <w:u w:val="none"/>
                <w:lang w:val="en-US" w:eastAsia="zh-CN" w:bidi="ar"/>
              </w:rPr>
              <w:t>税额（元）</w:t>
            </w:r>
          </w:p>
        </w:tc>
      </w:tr>
      <w:bookmarkEnd w:id="10"/>
      <w:tr w14:paraId="3DFFB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739" w:type="pct"/>
            <w:tcBorders>
              <w:top w:val="single" w:color="000000" w:sz="4" w:space="0"/>
              <w:left w:val="single" w:color="000000" w:sz="4" w:space="0"/>
              <w:bottom w:val="single" w:color="000000" w:sz="4" w:space="0"/>
              <w:right w:val="single" w:color="000000" w:sz="4" w:space="0"/>
            </w:tcBorders>
            <w:noWrap/>
            <w:vAlign w:val="center"/>
          </w:tcPr>
          <w:p w14:paraId="15D024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第一标段</w:t>
            </w:r>
          </w:p>
        </w:tc>
        <w:tc>
          <w:tcPr>
            <w:tcW w:w="610" w:type="pct"/>
            <w:tcBorders>
              <w:top w:val="single" w:color="000000" w:sz="4" w:space="0"/>
              <w:left w:val="single" w:color="000000" w:sz="4" w:space="0"/>
              <w:bottom w:val="single" w:color="000000" w:sz="4" w:space="0"/>
              <w:right w:val="single" w:color="000000" w:sz="4" w:space="0"/>
            </w:tcBorders>
          </w:tcPr>
          <w:p w14:paraId="7B87BD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top"/>
              <w:rPr>
                <w:rFonts w:hint="eastAsia" w:ascii="仿宋_GB2312" w:hAnsi="宋体" w:eastAsia="仿宋_GB2312" w:cs="仿宋_GB2312"/>
                <w:i w:val="0"/>
                <w:iCs w:val="0"/>
                <w:color w:val="auto"/>
                <w:kern w:val="0"/>
                <w:sz w:val="28"/>
                <w:szCs w:val="28"/>
                <w:highlight w:val="none"/>
                <w:u w:val="none"/>
                <w:lang w:val="en-US" w:eastAsia="zh-CN" w:bidi="ar"/>
              </w:rPr>
            </w:pPr>
            <w:r>
              <w:rPr>
                <w:rFonts w:hint="eastAsia" w:ascii="仿宋_GB2312" w:hAnsi="宋体" w:eastAsia="仿宋_GB2312" w:cs="仿宋_GB2312"/>
                <w:i w:val="0"/>
                <w:iCs w:val="0"/>
                <w:color w:val="auto"/>
                <w:kern w:val="0"/>
                <w:sz w:val="28"/>
                <w:szCs w:val="28"/>
                <w:highlight w:val="none"/>
                <w:u w:val="none"/>
                <w:lang w:val="en-US" w:eastAsia="zh-CN" w:bidi="ar"/>
              </w:rPr>
              <w:t>吨袋/编织袋</w:t>
            </w:r>
          </w:p>
        </w:tc>
        <w:tc>
          <w:tcPr>
            <w:tcW w:w="680" w:type="pct"/>
            <w:tcBorders>
              <w:top w:val="single" w:color="000000" w:sz="4" w:space="0"/>
              <w:left w:val="single" w:color="000000" w:sz="4" w:space="0"/>
              <w:bottom w:val="single" w:color="000000" w:sz="4" w:space="0"/>
              <w:right w:val="single" w:color="000000" w:sz="4" w:space="0"/>
            </w:tcBorders>
          </w:tcPr>
          <w:p w14:paraId="4A93F06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top"/>
              <w:rPr>
                <w:rFonts w:hint="eastAsia" w:ascii="仿宋_GB2312" w:hAnsi="宋体" w:eastAsia="仿宋_GB2312" w:cs="仿宋_GB2312"/>
                <w:i w:val="0"/>
                <w:iCs w:val="0"/>
                <w:color w:val="auto"/>
                <w:kern w:val="0"/>
                <w:sz w:val="28"/>
                <w:szCs w:val="28"/>
                <w:highlight w:val="none"/>
                <w:u w:val="none"/>
                <w:lang w:val="en-US" w:eastAsia="zh-CN" w:bidi="ar"/>
              </w:rPr>
            </w:pPr>
          </w:p>
          <w:p w14:paraId="5AE1CE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top"/>
              <w:rPr>
                <w:rFonts w:hint="eastAsia" w:ascii="仿宋_GB2312" w:hAnsi="宋体" w:eastAsia="仿宋_GB2312" w:cs="仿宋_GB2312"/>
                <w:i w:val="0"/>
                <w:iCs w:val="0"/>
                <w:color w:val="auto"/>
                <w:kern w:val="0"/>
                <w:sz w:val="28"/>
                <w:szCs w:val="28"/>
                <w:highlight w:val="none"/>
                <w:u w:val="none"/>
                <w:lang w:val="en-US" w:eastAsia="zh-CN" w:bidi="ar"/>
              </w:rPr>
            </w:pPr>
            <w:r>
              <w:rPr>
                <w:rFonts w:hint="eastAsia" w:ascii="仿宋_GB2312" w:hAnsi="宋体" w:eastAsia="仿宋_GB2312" w:cs="仿宋_GB2312"/>
                <w:i w:val="0"/>
                <w:iCs w:val="0"/>
                <w:color w:val="auto"/>
                <w:kern w:val="0"/>
                <w:sz w:val="28"/>
                <w:szCs w:val="28"/>
                <w:highlight w:val="none"/>
                <w:u w:val="none"/>
                <w:lang w:val="en-US" w:eastAsia="zh-CN" w:bidi="ar"/>
              </w:rPr>
              <w:t>个</w:t>
            </w:r>
          </w:p>
        </w:tc>
        <w:tc>
          <w:tcPr>
            <w:tcW w:w="800" w:type="pct"/>
            <w:tcBorders>
              <w:top w:val="single" w:color="000000" w:sz="4" w:space="0"/>
              <w:left w:val="single" w:color="000000" w:sz="4" w:space="0"/>
              <w:bottom w:val="single" w:color="000000" w:sz="4" w:space="0"/>
              <w:right w:val="single" w:color="000000" w:sz="4" w:space="0"/>
            </w:tcBorders>
          </w:tcPr>
          <w:p w14:paraId="4F7DF5F8">
            <w:pPr>
              <w:jc w:val="center"/>
              <w:rPr>
                <w:rFonts w:hint="eastAsia" w:ascii="仿宋_GB2312" w:hAnsi="宋体" w:eastAsia="仿宋_GB2312" w:cs="仿宋_GB2312"/>
                <w:i w:val="0"/>
                <w:iCs w:val="0"/>
                <w:color w:val="auto"/>
                <w:sz w:val="28"/>
                <w:szCs w:val="28"/>
                <w:highlight w:val="none"/>
                <w:u w:val="none"/>
              </w:rPr>
            </w:pPr>
          </w:p>
        </w:tc>
        <w:tc>
          <w:tcPr>
            <w:tcW w:w="700" w:type="pct"/>
            <w:tcBorders>
              <w:top w:val="single" w:color="000000" w:sz="4" w:space="0"/>
              <w:left w:val="single" w:color="000000" w:sz="4" w:space="0"/>
              <w:bottom w:val="single" w:color="000000" w:sz="4" w:space="0"/>
              <w:right w:val="single" w:color="000000" w:sz="4" w:space="0"/>
            </w:tcBorders>
          </w:tcPr>
          <w:p w14:paraId="577E77B9">
            <w:pPr>
              <w:jc w:val="center"/>
              <w:rPr>
                <w:rFonts w:hint="eastAsia" w:ascii="仿宋_GB2312" w:hAnsi="宋体" w:eastAsia="仿宋_GB2312" w:cs="仿宋_GB2312"/>
                <w:i w:val="0"/>
                <w:iCs w:val="0"/>
                <w:color w:val="auto"/>
                <w:sz w:val="28"/>
                <w:szCs w:val="28"/>
                <w:highlight w:val="none"/>
                <w:u w:val="none"/>
              </w:rPr>
            </w:pPr>
          </w:p>
        </w:tc>
        <w:tc>
          <w:tcPr>
            <w:tcW w:w="784" w:type="pct"/>
            <w:tcBorders>
              <w:top w:val="single" w:color="000000" w:sz="4" w:space="0"/>
              <w:left w:val="single" w:color="000000" w:sz="4" w:space="0"/>
              <w:bottom w:val="single" w:color="000000" w:sz="4" w:space="0"/>
              <w:right w:val="single" w:color="000000" w:sz="4" w:space="0"/>
            </w:tcBorders>
          </w:tcPr>
          <w:p w14:paraId="6B7499E8">
            <w:pPr>
              <w:jc w:val="center"/>
              <w:rPr>
                <w:rFonts w:hint="eastAsia" w:ascii="仿宋_GB2312" w:hAnsi="宋体" w:eastAsia="仿宋_GB2312" w:cs="仿宋_GB2312"/>
                <w:i w:val="0"/>
                <w:iCs w:val="0"/>
                <w:color w:val="auto"/>
                <w:sz w:val="28"/>
                <w:szCs w:val="28"/>
                <w:highlight w:val="none"/>
                <w:u w:val="none"/>
              </w:rPr>
            </w:pPr>
          </w:p>
        </w:tc>
        <w:tc>
          <w:tcPr>
            <w:tcW w:w="684" w:type="pct"/>
            <w:tcBorders>
              <w:top w:val="single" w:color="000000" w:sz="4" w:space="0"/>
              <w:left w:val="single" w:color="000000" w:sz="4" w:space="0"/>
              <w:bottom w:val="single" w:color="000000" w:sz="4" w:space="0"/>
              <w:right w:val="single" w:color="000000" w:sz="4" w:space="0"/>
            </w:tcBorders>
          </w:tcPr>
          <w:p w14:paraId="1CB30C64">
            <w:pPr>
              <w:jc w:val="center"/>
              <w:rPr>
                <w:rFonts w:hint="eastAsia" w:ascii="仿宋_GB2312" w:hAnsi="宋体" w:eastAsia="仿宋_GB2312" w:cs="仿宋_GB2312"/>
                <w:i w:val="0"/>
                <w:iCs w:val="0"/>
                <w:color w:val="auto"/>
                <w:sz w:val="28"/>
                <w:szCs w:val="28"/>
                <w:highlight w:val="none"/>
                <w:u w:val="none"/>
              </w:rPr>
            </w:pPr>
          </w:p>
        </w:tc>
      </w:tr>
    </w:tbl>
    <w:p w14:paraId="4DCDC878">
      <w:pPr>
        <w:pStyle w:val="16"/>
        <w:spacing w:line="360" w:lineRule="auto"/>
        <w:ind w:firstLine="560"/>
        <w:rPr>
          <w:rFonts w:ascii="仿宋_GB2312" w:hAnsi="仿宋_GB2312" w:eastAsia="仿宋_GB2312" w:cs="仿宋_GB2312"/>
          <w:color w:val="auto"/>
          <w:sz w:val="28"/>
          <w:szCs w:val="28"/>
          <w:highlight w:val="none"/>
        </w:rPr>
      </w:pPr>
      <w:bookmarkStart w:id="11" w:name="auto_fouce_12"/>
      <w:r>
        <w:rPr>
          <w:rFonts w:hint="eastAsia" w:ascii="仿宋_GB2312" w:hAnsi="仿宋_GB2312" w:eastAsia="仿宋_GB2312" w:cs="仿宋_GB2312"/>
          <w:color w:val="auto"/>
          <w:sz w:val="28"/>
          <w:szCs w:val="28"/>
          <w:highlight w:val="none"/>
          <w:lang w:val="en-US" w:eastAsia="zh-CN"/>
        </w:rPr>
        <w:t>注：</w:t>
      </w:r>
      <w:r>
        <w:rPr>
          <w:rFonts w:hint="eastAsia" w:ascii="仿宋_GB2312" w:hAnsi="仿宋_GB2312" w:eastAsia="仿宋_GB2312" w:cs="仿宋_GB2312"/>
          <w:color w:val="auto"/>
          <w:sz w:val="28"/>
          <w:szCs w:val="28"/>
          <w:highlight w:val="none"/>
        </w:rPr>
        <w:t>具体数量以实际出库</w:t>
      </w:r>
      <w:r>
        <w:rPr>
          <w:rFonts w:hint="eastAsia" w:ascii="仿宋_GB2312" w:hAnsi="仿宋_GB2312" w:eastAsia="仿宋_GB2312" w:cs="仿宋_GB2312"/>
          <w:color w:val="auto"/>
          <w:sz w:val="28"/>
          <w:szCs w:val="28"/>
          <w:highlight w:val="none"/>
          <w:lang w:eastAsia="zh-CN"/>
        </w:rPr>
        <w:t>时</w:t>
      </w:r>
      <w:r>
        <w:rPr>
          <w:rFonts w:hint="eastAsia" w:ascii="仿宋_GB2312" w:hAnsi="仿宋_GB2312" w:eastAsia="仿宋_GB2312" w:cs="仿宋_GB2312"/>
          <w:color w:val="auto"/>
          <w:sz w:val="28"/>
          <w:szCs w:val="28"/>
          <w:highlight w:val="none"/>
          <w:lang w:val="en-US" w:eastAsia="zh-CN"/>
        </w:rPr>
        <w:t>双方现场签字确认的数量</w:t>
      </w:r>
      <w:r>
        <w:rPr>
          <w:rFonts w:hint="eastAsia" w:ascii="仿宋_GB2312" w:hAnsi="仿宋_GB2312" w:eastAsia="仿宋_GB2312" w:cs="仿宋_GB2312"/>
          <w:color w:val="auto"/>
          <w:sz w:val="28"/>
          <w:szCs w:val="28"/>
          <w:highlight w:val="none"/>
        </w:rPr>
        <w:t>为准。</w:t>
      </w:r>
      <w:bookmarkEnd w:id="11"/>
    </w:p>
    <w:p w14:paraId="61824DA3">
      <w:pPr>
        <w:pStyle w:val="16"/>
        <w:spacing w:line="360" w:lineRule="auto"/>
        <w:ind w:left="560" w:firstLine="0" w:firstLineChars="0"/>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3.包装形式</w:t>
      </w:r>
    </w:p>
    <w:p w14:paraId="78812763">
      <w:pPr>
        <w:pStyle w:val="16"/>
        <w:spacing w:line="360" w:lineRule="auto"/>
        <w:ind w:left="560" w:firstLine="0" w:firstLineChars="0"/>
        <w:rPr>
          <w:rFonts w:hint="eastAsia" w:ascii="仿宋_GB2312" w:hAnsi="仿宋_GB2312" w:eastAsia="仿宋_GB2312" w:cs="仿宋_GB2312"/>
          <w:color w:val="auto"/>
          <w:kern w:val="2"/>
          <w:sz w:val="28"/>
          <w:szCs w:val="28"/>
          <w:highlight w:val="none"/>
          <w:lang w:val="en-US" w:eastAsia="zh-CN" w:bidi="ar-SA"/>
        </w:rPr>
      </w:pPr>
      <w:bookmarkStart w:id="12" w:name="auto_fouce_13"/>
      <w:r>
        <w:rPr>
          <w:rFonts w:hint="eastAsia" w:ascii="仿宋_GB2312" w:hAnsi="仿宋_GB2312" w:eastAsia="仿宋_GB2312" w:cs="仿宋_GB2312"/>
          <w:color w:val="auto"/>
          <w:kern w:val="2"/>
          <w:sz w:val="28"/>
          <w:szCs w:val="28"/>
          <w:highlight w:val="none"/>
          <w:lang w:val="en-US" w:eastAsia="zh-CN" w:bidi="ar-SA"/>
        </w:rPr>
        <w:t>甲方按本合同第二条表格约定的包装形式向乙方交付对应标段的速冻玉米产品。</w:t>
      </w:r>
      <w:bookmarkEnd w:id="12"/>
    </w:p>
    <w:tbl>
      <w:tblPr>
        <w:tblStyle w:val="8"/>
        <w:tblW w:w="521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65"/>
        <w:gridCol w:w="4393"/>
      </w:tblGrid>
      <w:tr w14:paraId="13E53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2677" w:type="pct"/>
            <w:tcBorders>
              <w:top w:val="single" w:color="auto" w:sz="4" w:space="0"/>
              <w:left w:val="single" w:color="auto" w:sz="4" w:space="0"/>
              <w:bottom w:val="single" w:color="auto" w:sz="4" w:space="0"/>
              <w:right w:val="single" w:color="auto" w:sz="4" w:space="0"/>
            </w:tcBorders>
            <w:noWrap/>
            <w:vAlign w:val="center"/>
          </w:tcPr>
          <w:p w14:paraId="2258026D">
            <w:pPr>
              <w:widowControl/>
              <w:jc w:val="center"/>
              <w:rPr>
                <w:rFonts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等级</w:t>
            </w:r>
          </w:p>
        </w:tc>
        <w:tc>
          <w:tcPr>
            <w:tcW w:w="2322" w:type="pct"/>
            <w:tcBorders>
              <w:top w:val="single" w:color="auto" w:sz="4" w:space="0"/>
              <w:left w:val="nil"/>
              <w:bottom w:val="single" w:color="auto" w:sz="4" w:space="0"/>
              <w:right w:val="single" w:color="auto" w:sz="4" w:space="0"/>
            </w:tcBorders>
            <w:noWrap/>
            <w:vAlign w:val="center"/>
          </w:tcPr>
          <w:p w14:paraId="505B79F0">
            <w:pPr>
              <w:widowControl/>
              <w:jc w:val="center"/>
              <w:rPr>
                <w:rFonts w:hint="eastAsia"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lang w:eastAsia="zh-CN"/>
              </w:rPr>
              <w:t>个</w:t>
            </w:r>
            <w:r>
              <w:rPr>
                <w:rFonts w:hint="eastAsia" w:ascii="仿宋" w:hAnsi="仿宋" w:eastAsia="仿宋" w:cs="宋体"/>
                <w:color w:val="auto"/>
                <w:kern w:val="0"/>
                <w:sz w:val="28"/>
                <w:szCs w:val="28"/>
                <w:highlight w:val="none"/>
              </w:rPr>
              <w:t>/吨袋</w:t>
            </w:r>
          </w:p>
        </w:tc>
      </w:tr>
      <w:tr w14:paraId="32F7E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2677" w:type="pct"/>
            <w:tcBorders>
              <w:top w:val="nil"/>
              <w:left w:val="single" w:color="auto" w:sz="4" w:space="0"/>
              <w:bottom w:val="single" w:color="auto" w:sz="4" w:space="0"/>
              <w:right w:val="single" w:color="auto" w:sz="4" w:space="0"/>
            </w:tcBorders>
            <w:noWrap/>
            <w:vAlign w:val="center"/>
          </w:tcPr>
          <w:p w14:paraId="6E623B62">
            <w:pPr>
              <w:widowControl/>
              <w:jc w:val="center"/>
              <w:rPr>
                <w:rFonts w:hint="eastAsia"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特等品</w:t>
            </w:r>
          </w:p>
        </w:tc>
        <w:tc>
          <w:tcPr>
            <w:tcW w:w="2322" w:type="pct"/>
            <w:tcBorders>
              <w:top w:val="nil"/>
              <w:left w:val="nil"/>
              <w:bottom w:val="single" w:color="auto" w:sz="4" w:space="0"/>
              <w:right w:val="single" w:color="auto" w:sz="4" w:space="0"/>
            </w:tcBorders>
            <w:noWrap/>
            <w:vAlign w:val="center"/>
          </w:tcPr>
          <w:p w14:paraId="63514C93">
            <w:pPr>
              <w:widowControl/>
              <w:jc w:val="center"/>
              <w:rPr>
                <w:rFonts w:hint="eastAsia"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1800</w:t>
            </w:r>
          </w:p>
        </w:tc>
      </w:tr>
      <w:tr w14:paraId="02741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2677" w:type="pct"/>
            <w:tcBorders>
              <w:top w:val="nil"/>
              <w:left w:val="single" w:color="auto" w:sz="4" w:space="0"/>
              <w:bottom w:val="single" w:color="auto" w:sz="4" w:space="0"/>
              <w:right w:val="single" w:color="auto" w:sz="4" w:space="0"/>
            </w:tcBorders>
            <w:noWrap/>
            <w:vAlign w:val="center"/>
          </w:tcPr>
          <w:p w14:paraId="3C38099D">
            <w:pPr>
              <w:widowControl/>
              <w:jc w:val="center"/>
              <w:rPr>
                <w:rFonts w:hint="eastAsia"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一等品</w:t>
            </w:r>
          </w:p>
        </w:tc>
        <w:tc>
          <w:tcPr>
            <w:tcW w:w="2322" w:type="pct"/>
            <w:tcBorders>
              <w:top w:val="nil"/>
              <w:left w:val="nil"/>
              <w:bottom w:val="single" w:color="auto" w:sz="4" w:space="0"/>
              <w:right w:val="single" w:color="auto" w:sz="4" w:space="0"/>
            </w:tcBorders>
            <w:noWrap/>
            <w:vAlign w:val="center"/>
          </w:tcPr>
          <w:p w14:paraId="47433DEB">
            <w:pPr>
              <w:widowControl/>
              <w:jc w:val="center"/>
              <w:rPr>
                <w:rFonts w:hint="eastAsia"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2100</w:t>
            </w:r>
          </w:p>
        </w:tc>
      </w:tr>
      <w:tr w14:paraId="57097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677" w:type="pct"/>
            <w:tcBorders>
              <w:top w:val="nil"/>
              <w:left w:val="single" w:color="auto" w:sz="4" w:space="0"/>
              <w:bottom w:val="single" w:color="auto" w:sz="4" w:space="0"/>
              <w:right w:val="single" w:color="auto" w:sz="4" w:space="0"/>
            </w:tcBorders>
            <w:noWrap/>
            <w:vAlign w:val="center"/>
          </w:tcPr>
          <w:p w14:paraId="444B4978">
            <w:pPr>
              <w:widowControl/>
              <w:jc w:val="center"/>
              <w:rPr>
                <w:rFonts w:hint="eastAsia"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二等品</w:t>
            </w:r>
          </w:p>
        </w:tc>
        <w:tc>
          <w:tcPr>
            <w:tcW w:w="2322" w:type="pct"/>
            <w:tcBorders>
              <w:top w:val="nil"/>
              <w:left w:val="nil"/>
              <w:bottom w:val="single" w:color="auto" w:sz="4" w:space="0"/>
              <w:right w:val="single" w:color="auto" w:sz="4" w:space="0"/>
            </w:tcBorders>
            <w:noWrap/>
            <w:vAlign w:val="center"/>
          </w:tcPr>
          <w:p w14:paraId="08338968">
            <w:pPr>
              <w:widowControl/>
              <w:jc w:val="center"/>
              <w:rPr>
                <w:rFonts w:hint="eastAsia"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2500</w:t>
            </w:r>
          </w:p>
        </w:tc>
      </w:tr>
    </w:tbl>
    <w:p w14:paraId="40E3D833">
      <w:pPr>
        <w:pStyle w:val="16"/>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备注：此表数量为参考数量，实际数量会有浮动。</w:t>
      </w:r>
    </w:p>
    <w:p w14:paraId="765D7C4A">
      <w:pPr>
        <w:pStyle w:val="16"/>
        <w:numPr>
          <w:ilvl w:val="0"/>
          <w:numId w:val="0"/>
        </w:numPr>
        <w:spacing w:line="360" w:lineRule="auto"/>
        <w:ind w:left="1288" w:leftChars="0" w:hanging="720" w:firstLineChars="0"/>
        <w:rPr>
          <w:rFonts w:hint="eastAsia" w:ascii="仿宋_GB2312" w:hAnsi="仿宋_GB2312" w:eastAsia="仿宋_GB2312" w:cs="仿宋_GB2312"/>
          <w:b/>
          <w:color w:val="auto"/>
          <w:kern w:val="2"/>
          <w:sz w:val="28"/>
          <w:szCs w:val="28"/>
          <w:highlight w:val="none"/>
          <w:lang w:val="en-US" w:eastAsia="zh-CN" w:bidi="ar-SA"/>
        </w:rPr>
      </w:pPr>
      <w:r>
        <w:rPr>
          <w:rFonts w:hint="default" w:ascii="仿宋_GB2312" w:hAnsi="仿宋_GB2312" w:eastAsia="仿宋_GB2312" w:cs="仿宋_GB2312"/>
          <w:b/>
          <w:color w:val="auto"/>
          <w:kern w:val="2"/>
          <w:sz w:val="28"/>
          <w:szCs w:val="28"/>
          <w:highlight w:val="none"/>
          <w:lang w:val="en-US" w:eastAsia="zh-CN" w:bidi="ar-SA"/>
        </w:rPr>
        <w:t>第三条</w:t>
      </w:r>
      <w:r>
        <w:rPr>
          <w:rFonts w:hint="eastAsia" w:ascii="仿宋_GB2312" w:hAnsi="仿宋_GB2312" w:eastAsia="仿宋_GB2312" w:cs="仿宋_GB2312"/>
          <w:b/>
          <w:color w:val="auto"/>
          <w:kern w:val="2"/>
          <w:sz w:val="28"/>
          <w:szCs w:val="28"/>
          <w:highlight w:val="none"/>
          <w:lang w:val="en-US" w:eastAsia="zh-CN" w:bidi="ar-SA"/>
        </w:rPr>
        <w:t xml:space="preserve"> 销售方式</w:t>
      </w:r>
    </w:p>
    <w:p w14:paraId="17529A24">
      <w:pPr>
        <w:numPr>
          <w:ilvl w:val="0"/>
          <w:numId w:val="0"/>
        </w:numPr>
        <w:spacing w:line="360" w:lineRule="auto"/>
        <w:ind w:left="70" w:leftChars="0" w:firstLine="560" w:firstLineChars="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kern w:val="2"/>
          <w:sz w:val="28"/>
          <w:szCs w:val="28"/>
          <w:highlight w:val="none"/>
          <w:lang w:val="en-US" w:eastAsia="zh-CN" w:bidi="ar-SA"/>
        </w:rPr>
        <w:t>1.</w:t>
      </w:r>
      <w:bookmarkStart w:id="13" w:name="tip_risk_bookmark_14"/>
      <w:r>
        <w:rPr>
          <w:rFonts w:hint="eastAsia" w:ascii="仿宋_GB2312" w:hAnsi="仿宋_GB2312" w:eastAsia="仿宋_GB2312" w:cs="仿宋_GB2312"/>
          <w:color w:val="auto"/>
          <w:sz w:val="28"/>
          <w:szCs w:val="28"/>
          <w:highlight w:val="none"/>
        </w:rPr>
        <w:t>乙方承诺订购甲方位于</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 xml:space="preserve"> 库房的速冻玉米产品，包</w:t>
      </w:r>
      <w:r>
        <w:rPr>
          <w:rFonts w:hint="eastAsia" w:ascii="仿宋_GB2312" w:hAnsi="仿宋_GB2312" w:eastAsia="仿宋_GB2312" w:cs="仿宋_GB2312"/>
          <w:color w:val="auto"/>
          <w:sz w:val="28"/>
          <w:szCs w:val="28"/>
          <w:highlight w:val="none"/>
          <w:lang w:eastAsia="zh-CN"/>
        </w:rPr>
        <w:t>括但</w:t>
      </w:r>
      <w:r>
        <w:rPr>
          <w:rFonts w:hint="eastAsia" w:ascii="仿宋_GB2312" w:hAnsi="仿宋_GB2312" w:eastAsia="仿宋_GB2312" w:cs="仿宋_GB2312"/>
          <w:color w:val="auto"/>
          <w:sz w:val="28"/>
          <w:szCs w:val="28"/>
          <w:highlight w:val="none"/>
        </w:rPr>
        <w:t>不限于特等品、一等品、二等品、三等品、四等品、混等、等外品等型号的产品，在双方约定的期限内，乙方确保订购的甲方速冻玉米产品于</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年</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月</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日之前提货完毕，并且提货数量总计大约</w:t>
      </w:r>
    </w:p>
    <w:p w14:paraId="6FCBD48C">
      <w:pPr>
        <w:numPr>
          <w:ilvl w:val="0"/>
          <w:numId w:val="0"/>
        </w:numPr>
        <w:spacing w:line="360" w:lineRule="auto"/>
        <w:ind w:left="0" w:leftChars="0" w:firstLine="0" w:firstLineChars="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万</w:t>
      </w:r>
      <w:r>
        <w:rPr>
          <w:rFonts w:hint="eastAsia" w:ascii="仿宋_GB2312" w:hAnsi="仿宋_GB2312" w:eastAsia="仿宋_GB2312" w:cs="仿宋_GB2312"/>
          <w:color w:val="auto"/>
          <w:sz w:val="28"/>
          <w:szCs w:val="28"/>
          <w:highlight w:val="none"/>
          <w:lang w:eastAsia="zh-CN"/>
        </w:rPr>
        <w:t>个</w:t>
      </w:r>
      <w:r>
        <w:rPr>
          <w:rFonts w:hint="eastAsia" w:ascii="仿宋_GB2312" w:hAnsi="仿宋_GB2312" w:eastAsia="仿宋_GB2312" w:cs="仿宋_GB2312"/>
          <w:color w:val="auto"/>
          <w:sz w:val="28"/>
          <w:szCs w:val="28"/>
          <w:highlight w:val="none"/>
        </w:rPr>
        <w:t>。</w:t>
      </w:r>
      <w:bookmarkEnd w:id="13"/>
    </w:p>
    <w:p w14:paraId="1C247EBE">
      <w:pPr>
        <w:numPr>
          <w:ilvl w:val="0"/>
          <w:numId w:val="0"/>
        </w:numPr>
        <w:spacing w:line="360" w:lineRule="auto"/>
        <w:ind w:left="70" w:leftChars="0" w:firstLine="560" w:firstLineChars="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kern w:val="2"/>
          <w:sz w:val="28"/>
          <w:szCs w:val="28"/>
          <w:highlight w:val="none"/>
          <w:lang w:val="en-US" w:eastAsia="zh-CN" w:bidi="ar-SA"/>
        </w:rPr>
        <w:t>2.</w:t>
      </w:r>
      <w:bookmarkStart w:id="14" w:name="auto_fouce_15"/>
      <w:bookmarkStart w:id="15" w:name="auto_fouce_16"/>
      <w:r>
        <w:rPr>
          <w:rFonts w:hint="eastAsia" w:ascii="仿宋_GB2312" w:hAnsi="仿宋_GB2312" w:eastAsia="仿宋_GB2312" w:cs="仿宋_GB2312"/>
          <w:color w:val="auto"/>
          <w:sz w:val="28"/>
          <w:szCs w:val="28"/>
          <w:highlight w:val="none"/>
        </w:rPr>
        <w:t>产品价格由甲乙双方根据本合同规定执行，乙方保证在合作期间，</w:t>
      </w:r>
      <w:r>
        <w:rPr>
          <w:rFonts w:hint="eastAsia" w:ascii="仿宋_GB2312" w:hAnsi="仿宋_GB2312" w:eastAsia="仿宋_GB2312" w:cs="仿宋_GB2312"/>
          <w:color w:val="auto"/>
          <w:sz w:val="28"/>
          <w:szCs w:val="28"/>
          <w:highlight w:val="none"/>
          <w:lang w:eastAsia="zh-CN"/>
        </w:rPr>
        <w:t>不</w:t>
      </w:r>
      <w:r>
        <w:rPr>
          <w:rFonts w:hint="eastAsia" w:ascii="仿宋_GB2312" w:hAnsi="仿宋_GB2312" w:eastAsia="仿宋_GB2312" w:cs="仿宋_GB2312"/>
          <w:color w:val="auto"/>
          <w:sz w:val="28"/>
          <w:szCs w:val="28"/>
          <w:highlight w:val="none"/>
        </w:rPr>
        <w:t>以各种理由要求甲方降价、搭售。</w:t>
      </w:r>
      <w:bookmarkEnd w:id="14"/>
    </w:p>
    <w:p w14:paraId="58933072">
      <w:pPr>
        <w:numPr>
          <w:ilvl w:val="0"/>
          <w:numId w:val="0"/>
        </w:numPr>
        <w:spacing w:line="360" w:lineRule="auto"/>
        <w:ind w:left="70" w:leftChars="0" w:firstLine="560" w:firstLineChars="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kern w:val="2"/>
          <w:sz w:val="28"/>
          <w:szCs w:val="28"/>
          <w:highlight w:val="none"/>
          <w:lang w:val="en-US" w:eastAsia="zh-CN" w:bidi="ar-SA"/>
        </w:rPr>
        <w:t>3.</w:t>
      </w:r>
      <w:bookmarkStart w:id="16" w:name="tip_risk_bookmark_18"/>
      <w:bookmarkStart w:id="17" w:name="tip_risk_bookmark_19"/>
      <w:r>
        <w:rPr>
          <w:rFonts w:hint="eastAsia" w:ascii="仿宋_GB2312" w:hAnsi="仿宋_GB2312" w:eastAsia="仿宋_GB2312" w:cs="仿宋_GB2312"/>
          <w:color w:val="auto"/>
          <w:sz w:val="28"/>
          <w:szCs w:val="28"/>
          <w:highlight w:val="none"/>
        </w:rPr>
        <w:t>乙方签订合同前已实地考察</w:t>
      </w:r>
      <w:r>
        <w:rPr>
          <w:rFonts w:hint="eastAsia" w:ascii="仿宋_GB2312" w:hAnsi="仿宋_GB2312" w:eastAsia="仿宋_GB2312" w:cs="仿宋_GB2312"/>
          <w:color w:val="auto"/>
          <w:sz w:val="28"/>
          <w:szCs w:val="28"/>
          <w:highlight w:val="none"/>
          <w:lang w:eastAsia="zh-CN"/>
        </w:rPr>
        <w:t>本合同项下</w:t>
      </w:r>
      <w:r>
        <w:rPr>
          <w:rFonts w:hint="eastAsia" w:ascii="仿宋_GB2312" w:hAnsi="仿宋_GB2312" w:eastAsia="仿宋_GB2312" w:cs="仿宋_GB2312"/>
          <w:color w:val="auto"/>
          <w:sz w:val="28"/>
          <w:szCs w:val="28"/>
          <w:highlight w:val="none"/>
        </w:rPr>
        <w:t>速冻玉米产品，并充分知悉产品</w:t>
      </w:r>
      <w:r>
        <w:rPr>
          <w:rFonts w:hint="eastAsia" w:ascii="仿宋_GB2312" w:hAnsi="仿宋_GB2312" w:eastAsia="仿宋_GB2312" w:cs="仿宋_GB2312"/>
          <w:color w:val="auto"/>
          <w:sz w:val="28"/>
          <w:szCs w:val="28"/>
          <w:highlight w:val="none"/>
          <w:lang w:eastAsia="zh-CN"/>
        </w:rPr>
        <w:t>全部</w:t>
      </w:r>
      <w:r>
        <w:rPr>
          <w:rFonts w:hint="eastAsia" w:ascii="仿宋_GB2312" w:hAnsi="仿宋_GB2312" w:eastAsia="仿宋_GB2312" w:cs="仿宋_GB2312"/>
          <w:color w:val="auto"/>
          <w:sz w:val="28"/>
          <w:szCs w:val="28"/>
          <w:highlight w:val="none"/>
        </w:rPr>
        <w:t>质量状况，甲方以货物现状交货，</w:t>
      </w:r>
      <w:r>
        <w:rPr>
          <w:rFonts w:hint="eastAsia" w:ascii="仿宋_GB2312" w:hAnsi="仿宋_GB2312" w:eastAsia="仿宋_GB2312" w:cs="仿宋_GB2312"/>
          <w:color w:val="auto"/>
          <w:sz w:val="28"/>
          <w:szCs w:val="28"/>
          <w:highlight w:val="none"/>
          <w:lang w:eastAsia="zh-CN"/>
        </w:rPr>
        <w:t>乙方签订本合同</w:t>
      </w:r>
      <w:r>
        <w:rPr>
          <w:rFonts w:hint="eastAsia" w:ascii="仿宋_GB2312" w:hAnsi="仿宋_GB2312" w:eastAsia="仿宋_GB2312" w:cs="仿宋_GB2312"/>
          <w:color w:val="auto"/>
          <w:sz w:val="28"/>
          <w:szCs w:val="28"/>
          <w:highlight w:val="none"/>
        </w:rPr>
        <w:t>后</w:t>
      </w:r>
      <w:r>
        <w:rPr>
          <w:rFonts w:hint="eastAsia" w:ascii="仿宋_GB2312" w:hAnsi="仿宋_GB2312" w:eastAsia="仿宋_GB2312" w:cs="仿宋_GB2312"/>
          <w:color w:val="auto"/>
          <w:sz w:val="28"/>
          <w:szCs w:val="28"/>
          <w:highlight w:val="none"/>
          <w:lang w:eastAsia="zh-CN"/>
        </w:rPr>
        <w:t>即</w:t>
      </w:r>
      <w:r>
        <w:rPr>
          <w:rFonts w:hint="eastAsia" w:ascii="仿宋_GB2312" w:hAnsi="仿宋_GB2312" w:eastAsia="仿宋_GB2312" w:cs="仿宋_GB2312"/>
          <w:color w:val="auto"/>
          <w:sz w:val="28"/>
          <w:szCs w:val="28"/>
          <w:highlight w:val="none"/>
        </w:rPr>
        <w:t>视为</w:t>
      </w:r>
      <w:r>
        <w:rPr>
          <w:rFonts w:hint="eastAsia" w:ascii="仿宋_GB2312" w:hAnsi="仿宋_GB2312" w:eastAsia="仿宋_GB2312" w:cs="仿宋_GB2312"/>
          <w:color w:val="auto"/>
          <w:sz w:val="28"/>
          <w:szCs w:val="28"/>
          <w:highlight w:val="none"/>
          <w:lang w:eastAsia="zh-CN"/>
        </w:rPr>
        <w:t>完全</w:t>
      </w:r>
      <w:r>
        <w:rPr>
          <w:rFonts w:hint="eastAsia" w:ascii="仿宋_GB2312" w:hAnsi="仿宋_GB2312" w:eastAsia="仿宋_GB2312" w:cs="仿宋_GB2312"/>
          <w:color w:val="auto"/>
          <w:sz w:val="28"/>
          <w:szCs w:val="28"/>
          <w:highlight w:val="none"/>
        </w:rPr>
        <w:t>认同</w:t>
      </w:r>
      <w:r>
        <w:rPr>
          <w:rFonts w:hint="eastAsia" w:ascii="仿宋_GB2312" w:hAnsi="仿宋_GB2312" w:eastAsia="仿宋_GB2312" w:cs="仿宋_GB2312"/>
          <w:color w:val="auto"/>
          <w:sz w:val="28"/>
          <w:szCs w:val="28"/>
          <w:highlight w:val="none"/>
          <w:lang w:eastAsia="zh-CN"/>
        </w:rPr>
        <w:t>产品现状</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eastAsia="zh-CN"/>
        </w:rPr>
        <w:t>提货离库</w:t>
      </w:r>
      <w:r>
        <w:rPr>
          <w:rFonts w:hint="eastAsia" w:ascii="仿宋_GB2312" w:hAnsi="仿宋_GB2312" w:eastAsia="仿宋_GB2312" w:cs="仿宋_GB2312"/>
          <w:color w:val="auto"/>
          <w:sz w:val="28"/>
          <w:szCs w:val="28"/>
          <w:highlight w:val="none"/>
        </w:rPr>
        <w:t>后</w:t>
      </w:r>
      <w:r>
        <w:rPr>
          <w:rFonts w:hint="eastAsia" w:ascii="仿宋_GB2312" w:hAnsi="仿宋_GB2312" w:eastAsia="仿宋_GB2312" w:cs="仿宋_GB2312"/>
          <w:color w:val="auto"/>
          <w:sz w:val="28"/>
          <w:szCs w:val="28"/>
          <w:highlight w:val="none"/>
          <w:lang w:eastAsia="zh-CN"/>
        </w:rPr>
        <w:t>不得</w:t>
      </w:r>
      <w:r>
        <w:rPr>
          <w:rFonts w:hint="eastAsia" w:ascii="仿宋_GB2312" w:hAnsi="仿宋_GB2312" w:eastAsia="仿宋_GB2312" w:cs="仿宋_GB2312"/>
          <w:color w:val="auto"/>
          <w:sz w:val="28"/>
          <w:szCs w:val="28"/>
          <w:highlight w:val="none"/>
        </w:rPr>
        <w:t>以任何理由要求甲方</w:t>
      </w:r>
      <w:r>
        <w:rPr>
          <w:rFonts w:hint="eastAsia" w:ascii="仿宋_GB2312" w:hAnsi="仿宋_GB2312" w:eastAsia="仿宋_GB2312" w:cs="仿宋_GB2312"/>
          <w:color w:val="auto"/>
          <w:sz w:val="28"/>
          <w:szCs w:val="28"/>
          <w:highlight w:val="none"/>
          <w:lang w:eastAsia="zh-CN"/>
        </w:rPr>
        <w:t>承担任何</w:t>
      </w:r>
      <w:r>
        <w:rPr>
          <w:rFonts w:hint="eastAsia" w:ascii="仿宋_GB2312" w:hAnsi="仿宋_GB2312" w:eastAsia="仿宋_GB2312" w:cs="仿宋_GB2312"/>
          <w:color w:val="auto"/>
          <w:sz w:val="28"/>
          <w:szCs w:val="28"/>
          <w:highlight w:val="none"/>
        </w:rPr>
        <w:t>售后</w:t>
      </w:r>
      <w:r>
        <w:rPr>
          <w:rFonts w:hint="eastAsia" w:ascii="仿宋_GB2312" w:hAnsi="仿宋_GB2312" w:eastAsia="仿宋_GB2312" w:cs="仿宋_GB2312"/>
          <w:color w:val="auto"/>
          <w:sz w:val="28"/>
          <w:szCs w:val="28"/>
          <w:highlight w:val="none"/>
          <w:lang w:eastAsia="zh-CN"/>
        </w:rPr>
        <w:t>责任或</w:t>
      </w:r>
      <w:r>
        <w:rPr>
          <w:rFonts w:hint="eastAsia" w:ascii="仿宋_GB2312" w:hAnsi="仿宋_GB2312" w:eastAsia="仿宋_GB2312" w:cs="仿宋_GB2312"/>
          <w:color w:val="auto"/>
          <w:sz w:val="28"/>
          <w:szCs w:val="28"/>
          <w:highlight w:val="none"/>
        </w:rPr>
        <w:t>赔偿。</w:t>
      </w:r>
      <w:bookmarkEnd w:id="15"/>
      <w:bookmarkEnd w:id="16"/>
    </w:p>
    <w:p w14:paraId="736C2DFF">
      <w:pPr>
        <w:pStyle w:val="16"/>
        <w:numPr>
          <w:ilvl w:val="0"/>
          <w:numId w:val="0"/>
        </w:numPr>
        <w:spacing w:line="360" w:lineRule="auto"/>
        <w:ind w:left="1288" w:leftChars="0" w:hanging="720" w:firstLineChars="0"/>
        <w:rPr>
          <w:rFonts w:hint="eastAsia" w:ascii="仿宋_GB2312" w:hAnsi="仿宋_GB2312" w:eastAsia="仿宋_GB2312" w:cs="仿宋_GB2312"/>
          <w:b/>
          <w:bCs/>
          <w:color w:val="auto"/>
          <w:sz w:val="28"/>
          <w:szCs w:val="28"/>
          <w:highlight w:val="none"/>
          <w:lang w:eastAsia="zh-CN"/>
        </w:rPr>
      </w:pPr>
      <w:r>
        <w:rPr>
          <w:rFonts w:hint="default" w:ascii="仿宋_GB2312" w:hAnsi="仿宋_GB2312" w:eastAsia="仿宋_GB2312" w:cs="仿宋_GB2312"/>
          <w:b/>
          <w:bCs/>
          <w:color w:val="auto"/>
          <w:kern w:val="2"/>
          <w:sz w:val="28"/>
          <w:szCs w:val="28"/>
          <w:highlight w:val="none"/>
          <w:lang w:val="en-US" w:eastAsia="zh-CN" w:bidi="ar-SA"/>
        </w:rPr>
        <w:t>第四条</w:t>
      </w:r>
      <w:r>
        <w:rPr>
          <w:rFonts w:hint="eastAsia" w:ascii="仿宋_GB2312" w:hAnsi="仿宋_GB2312" w:eastAsia="仿宋_GB2312" w:cs="仿宋_GB2312"/>
          <w:b/>
          <w:bCs/>
          <w:color w:val="auto"/>
          <w:kern w:val="2"/>
          <w:sz w:val="28"/>
          <w:szCs w:val="28"/>
          <w:highlight w:val="none"/>
          <w:lang w:val="en-US" w:eastAsia="zh-CN" w:bidi="ar-SA"/>
        </w:rPr>
        <w:t xml:space="preserve"> </w:t>
      </w:r>
      <w:r>
        <w:rPr>
          <w:rFonts w:hint="eastAsia" w:ascii="仿宋_GB2312" w:hAnsi="仿宋_GB2312" w:eastAsia="仿宋_GB2312" w:cs="仿宋_GB2312"/>
          <w:b/>
          <w:color w:val="auto"/>
          <w:sz w:val="28"/>
          <w:szCs w:val="28"/>
          <w:highlight w:val="none"/>
        </w:rPr>
        <w:t>订货、</w:t>
      </w:r>
      <w:r>
        <w:rPr>
          <w:rFonts w:hint="eastAsia" w:ascii="仿宋_GB2312" w:hAnsi="仿宋_GB2312" w:eastAsia="仿宋_GB2312" w:cs="仿宋_GB2312"/>
          <w:b/>
          <w:color w:val="auto"/>
          <w:sz w:val="28"/>
          <w:szCs w:val="28"/>
          <w:highlight w:val="none"/>
          <w:lang w:val="en-US" w:eastAsia="zh-CN"/>
        </w:rPr>
        <w:t>抽检和数量确认方式</w:t>
      </w:r>
      <w:r>
        <w:rPr>
          <w:rFonts w:hint="eastAsia" w:ascii="仿宋_GB2312" w:hAnsi="仿宋_GB2312" w:eastAsia="仿宋_GB2312" w:cs="仿宋_GB2312"/>
          <w:b/>
          <w:color w:val="auto"/>
          <w:sz w:val="28"/>
          <w:szCs w:val="28"/>
          <w:highlight w:val="none"/>
        </w:rPr>
        <w:t>、交货</w:t>
      </w:r>
      <w:r>
        <w:rPr>
          <w:rFonts w:hint="eastAsia" w:ascii="仿宋_GB2312" w:hAnsi="仿宋_GB2312" w:eastAsia="仿宋_GB2312" w:cs="仿宋_GB2312"/>
          <w:b/>
          <w:color w:val="auto"/>
          <w:sz w:val="28"/>
          <w:szCs w:val="28"/>
          <w:highlight w:val="none"/>
          <w:lang w:eastAsia="zh-CN"/>
        </w:rPr>
        <w:t>：</w:t>
      </w:r>
    </w:p>
    <w:p w14:paraId="54BA7A08">
      <w:pPr>
        <w:spacing w:line="360" w:lineRule="auto"/>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1.</w:t>
      </w:r>
      <w:bookmarkStart w:id="18" w:name="auto_fouce_20"/>
      <w:r>
        <w:rPr>
          <w:rFonts w:hint="eastAsia" w:ascii="仿宋_GB2312" w:hAnsi="仿宋_GB2312" w:eastAsia="仿宋_GB2312" w:cs="仿宋_GB2312"/>
          <w:color w:val="auto"/>
          <w:sz w:val="28"/>
          <w:szCs w:val="28"/>
          <w:highlight w:val="none"/>
        </w:rPr>
        <w:t>订货方式：签订本合同后</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乙方需先向甲方缴纳合作履约保证金，标准为</w:t>
      </w:r>
      <w:r>
        <w:rPr>
          <w:rFonts w:hint="eastAsia" w:ascii="仿宋_GB2312" w:hAnsi="仿宋_GB2312" w:eastAsia="仿宋_GB2312" w:cs="仿宋_GB2312"/>
          <w:color w:val="auto"/>
          <w:sz w:val="28"/>
          <w:szCs w:val="28"/>
          <w:highlight w:val="none"/>
          <w:lang w:eastAsia="zh-CN"/>
        </w:rPr>
        <w:t>按购买标的总价款的百分之十(标的总额*10%)，</w:t>
      </w:r>
      <w:r>
        <w:rPr>
          <w:rFonts w:hint="eastAsia" w:ascii="仿宋_GB2312" w:hAnsi="仿宋_GB2312" w:eastAsia="仿宋_GB2312" w:cs="仿宋_GB2312"/>
          <w:color w:val="auto"/>
          <w:sz w:val="28"/>
          <w:szCs w:val="28"/>
          <w:highlight w:val="none"/>
        </w:rPr>
        <w:t>每笔订单装车后离库前</w:t>
      </w:r>
      <w:r>
        <w:rPr>
          <w:rFonts w:hint="eastAsia" w:ascii="仿宋_GB2312" w:hAnsi="仿宋_GB2312" w:eastAsia="仿宋_GB2312" w:cs="仿宋_GB2312"/>
          <w:color w:val="auto"/>
          <w:sz w:val="28"/>
          <w:szCs w:val="28"/>
          <w:highlight w:val="none"/>
          <w:lang w:eastAsia="zh-CN"/>
        </w:rPr>
        <w:t>，乙方须向</w:t>
      </w:r>
      <w:r>
        <w:rPr>
          <w:rFonts w:hint="eastAsia" w:ascii="仿宋_GB2312" w:hAnsi="仿宋_GB2312" w:eastAsia="仿宋_GB2312" w:cs="仿宋_GB2312"/>
          <w:color w:val="auto"/>
          <w:sz w:val="28"/>
          <w:szCs w:val="28"/>
          <w:highlight w:val="none"/>
        </w:rPr>
        <w:t>甲方指定账户全额支付货款</w:t>
      </w:r>
      <w:r>
        <w:rPr>
          <w:rFonts w:hint="eastAsia" w:ascii="仿宋_GB2312" w:hAnsi="仿宋_GB2312" w:eastAsia="仿宋_GB2312" w:cs="仿宋_GB2312"/>
          <w:color w:val="auto"/>
          <w:sz w:val="28"/>
          <w:szCs w:val="28"/>
          <w:highlight w:val="none"/>
          <w:lang w:eastAsia="zh-CN"/>
        </w:rPr>
        <w:t>。若</w:t>
      </w:r>
      <w:r>
        <w:rPr>
          <w:rFonts w:hint="eastAsia" w:ascii="仿宋_GB2312" w:hAnsi="仿宋_GB2312" w:eastAsia="仿宋_GB2312" w:cs="仿宋_GB2312"/>
          <w:color w:val="auto"/>
          <w:sz w:val="28"/>
          <w:szCs w:val="28"/>
          <w:highlight w:val="none"/>
        </w:rPr>
        <w:t>乙方完成</w:t>
      </w:r>
      <w:r>
        <w:rPr>
          <w:rFonts w:hint="eastAsia" w:ascii="仿宋_GB2312" w:hAnsi="仿宋_GB2312" w:eastAsia="仿宋_GB2312" w:cs="仿宋_GB2312"/>
          <w:color w:val="auto"/>
          <w:sz w:val="28"/>
          <w:szCs w:val="28"/>
          <w:highlight w:val="none"/>
          <w:lang w:eastAsia="zh-CN"/>
        </w:rPr>
        <w:t>本</w:t>
      </w:r>
      <w:r>
        <w:rPr>
          <w:rFonts w:hint="eastAsia" w:ascii="仿宋_GB2312" w:hAnsi="仿宋_GB2312" w:eastAsia="仿宋_GB2312" w:cs="仿宋_GB2312"/>
          <w:color w:val="auto"/>
          <w:sz w:val="28"/>
          <w:szCs w:val="28"/>
          <w:highlight w:val="none"/>
        </w:rPr>
        <w:t>合同</w:t>
      </w:r>
      <w:r>
        <w:rPr>
          <w:rFonts w:hint="eastAsia" w:ascii="仿宋_GB2312" w:hAnsi="仿宋_GB2312" w:eastAsia="仿宋_GB2312" w:cs="仿宋_GB2312"/>
          <w:color w:val="auto"/>
          <w:sz w:val="28"/>
          <w:szCs w:val="28"/>
          <w:highlight w:val="none"/>
          <w:lang w:eastAsia="zh-CN"/>
        </w:rPr>
        <w:t>约定全部提货义务且</w:t>
      </w:r>
      <w:r>
        <w:rPr>
          <w:rFonts w:hint="eastAsia" w:ascii="仿宋_GB2312" w:hAnsi="仿宋_GB2312" w:eastAsia="仿宋_GB2312" w:cs="仿宋_GB2312"/>
          <w:color w:val="auto"/>
          <w:sz w:val="28"/>
          <w:szCs w:val="28"/>
          <w:highlight w:val="none"/>
        </w:rPr>
        <w:t>无</w:t>
      </w:r>
      <w:r>
        <w:rPr>
          <w:rFonts w:hint="eastAsia" w:ascii="仿宋_GB2312" w:hAnsi="仿宋_GB2312" w:eastAsia="仿宋_GB2312" w:cs="仿宋_GB2312"/>
          <w:color w:val="auto"/>
          <w:sz w:val="28"/>
          <w:szCs w:val="28"/>
          <w:highlight w:val="none"/>
          <w:lang w:eastAsia="zh-CN"/>
        </w:rPr>
        <w:t>任何</w:t>
      </w:r>
      <w:r>
        <w:rPr>
          <w:rFonts w:hint="eastAsia" w:ascii="仿宋_GB2312" w:hAnsi="仿宋_GB2312" w:eastAsia="仿宋_GB2312" w:cs="仿宋_GB2312"/>
          <w:color w:val="auto"/>
          <w:sz w:val="28"/>
          <w:szCs w:val="28"/>
          <w:highlight w:val="none"/>
        </w:rPr>
        <w:t>违约</w:t>
      </w:r>
      <w:r>
        <w:rPr>
          <w:rFonts w:hint="eastAsia" w:ascii="仿宋_GB2312" w:hAnsi="仿宋_GB2312" w:eastAsia="仿宋_GB2312" w:cs="仿宋_GB2312"/>
          <w:color w:val="auto"/>
          <w:sz w:val="28"/>
          <w:szCs w:val="28"/>
          <w:highlight w:val="none"/>
          <w:lang w:eastAsia="zh-CN"/>
        </w:rPr>
        <w:t>行为</w:t>
      </w:r>
      <w:r>
        <w:rPr>
          <w:rFonts w:hint="eastAsia" w:ascii="仿宋_GB2312" w:hAnsi="仿宋_GB2312" w:eastAsia="仿宋_GB2312" w:cs="仿宋_GB2312"/>
          <w:color w:val="auto"/>
          <w:sz w:val="28"/>
          <w:szCs w:val="28"/>
          <w:highlight w:val="none"/>
        </w:rPr>
        <w:t>，履约保证金</w:t>
      </w:r>
      <w:r>
        <w:rPr>
          <w:rFonts w:hint="eastAsia" w:ascii="仿宋_GB2312" w:hAnsi="仿宋_GB2312" w:eastAsia="仿宋_GB2312" w:cs="仿宋_GB2312"/>
          <w:color w:val="auto"/>
          <w:sz w:val="28"/>
          <w:szCs w:val="28"/>
          <w:highlight w:val="none"/>
          <w:lang w:eastAsia="zh-CN"/>
        </w:rPr>
        <w:t>可由甲方</w:t>
      </w:r>
      <w:r>
        <w:rPr>
          <w:rFonts w:hint="eastAsia" w:ascii="仿宋_GB2312" w:hAnsi="仿宋_GB2312" w:eastAsia="仿宋_GB2312" w:cs="仿宋_GB2312"/>
          <w:color w:val="auto"/>
          <w:sz w:val="28"/>
          <w:szCs w:val="28"/>
          <w:highlight w:val="none"/>
        </w:rPr>
        <w:t>在乙方最后一笔订单</w:t>
      </w:r>
      <w:r>
        <w:rPr>
          <w:rFonts w:hint="eastAsia" w:ascii="仿宋_GB2312" w:hAnsi="仿宋_GB2312" w:eastAsia="仿宋_GB2312" w:cs="仿宋_GB2312"/>
          <w:color w:val="auto"/>
          <w:sz w:val="28"/>
          <w:szCs w:val="28"/>
          <w:highlight w:val="none"/>
          <w:lang w:eastAsia="zh-CN"/>
        </w:rPr>
        <w:t>货款</w:t>
      </w:r>
      <w:r>
        <w:rPr>
          <w:rFonts w:hint="eastAsia" w:ascii="仿宋_GB2312" w:hAnsi="仿宋_GB2312" w:eastAsia="仿宋_GB2312" w:cs="仿宋_GB2312"/>
          <w:color w:val="auto"/>
          <w:sz w:val="28"/>
          <w:szCs w:val="28"/>
          <w:highlight w:val="none"/>
        </w:rPr>
        <w:t>中</w:t>
      </w:r>
      <w:r>
        <w:rPr>
          <w:rFonts w:hint="eastAsia" w:ascii="仿宋_GB2312" w:hAnsi="仿宋_GB2312" w:eastAsia="仿宋_GB2312" w:cs="仿宋_GB2312"/>
          <w:color w:val="auto"/>
          <w:sz w:val="28"/>
          <w:szCs w:val="28"/>
          <w:highlight w:val="none"/>
          <w:lang w:eastAsia="zh-CN"/>
        </w:rPr>
        <w:t>予以</w:t>
      </w:r>
      <w:r>
        <w:rPr>
          <w:rFonts w:hint="eastAsia" w:ascii="仿宋_GB2312" w:hAnsi="仿宋_GB2312" w:eastAsia="仿宋_GB2312" w:cs="仿宋_GB2312"/>
          <w:color w:val="auto"/>
          <w:sz w:val="28"/>
          <w:szCs w:val="28"/>
          <w:highlight w:val="none"/>
        </w:rPr>
        <w:t>冲抵</w:t>
      </w:r>
      <w:r>
        <w:rPr>
          <w:rFonts w:hint="eastAsia" w:ascii="仿宋_GB2312" w:hAnsi="仿宋_GB2312" w:eastAsia="仿宋_GB2312" w:cs="仿宋_GB2312"/>
          <w:color w:val="auto"/>
          <w:sz w:val="28"/>
          <w:szCs w:val="28"/>
          <w:highlight w:val="none"/>
          <w:lang w:eastAsia="zh-CN"/>
        </w:rPr>
        <w:t>；若乙方存在违约行为，履约保证金将优先用于抵扣乙方应向甲方支付的违约金、赔偿金、逾期存储费及其他应付费用，不足部分甲方有权另行向乙方追偿，剩余部分（如有）方可冲抵</w:t>
      </w:r>
      <w:r>
        <w:rPr>
          <w:rFonts w:hint="eastAsia" w:ascii="仿宋_GB2312" w:hAnsi="仿宋_GB2312" w:eastAsia="仿宋_GB2312" w:cs="仿宋_GB2312"/>
          <w:color w:val="auto"/>
          <w:sz w:val="28"/>
          <w:szCs w:val="28"/>
          <w:highlight w:val="none"/>
        </w:rPr>
        <w:t>货款。</w:t>
      </w:r>
      <w:bookmarkEnd w:id="18"/>
    </w:p>
    <w:p w14:paraId="53C92D41">
      <w:pPr>
        <w:spacing w:line="360" w:lineRule="auto"/>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2.抽检方式：乙方</w:t>
      </w:r>
      <w:r>
        <w:rPr>
          <w:rFonts w:hint="eastAsia" w:ascii="仿宋_GB2312" w:hAnsi="仿宋_GB2312" w:eastAsia="仿宋_GB2312" w:cs="仿宋_GB2312"/>
          <w:color w:val="auto"/>
          <w:sz w:val="28"/>
          <w:szCs w:val="28"/>
          <w:highlight w:val="none"/>
        </w:rPr>
        <w:t>到</w:t>
      </w:r>
      <w:r>
        <w:rPr>
          <w:rFonts w:hint="eastAsia" w:ascii="仿宋_GB2312" w:hAnsi="仿宋_GB2312" w:eastAsia="仿宋_GB2312" w:cs="仿宋_GB2312"/>
          <w:color w:val="auto"/>
          <w:sz w:val="28"/>
          <w:szCs w:val="28"/>
          <w:highlight w:val="none"/>
          <w:lang w:val="en-US" w:eastAsia="zh-CN"/>
        </w:rPr>
        <w:t>甲方厂区</w:t>
      </w:r>
      <w:r>
        <w:rPr>
          <w:rFonts w:hint="eastAsia" w:ascii="仿宋_GB2312" w:hAnsi="仿宋_GB2312" w:eastAsia="仿宋_GB2312" w:cs="仿宋_GB2312"/>
          <w:color w:val="auto"/>
          <w:sz w:val="28"/>
          <w:szCs w:val="28"/>
          <w:highlight w:val="none"/>
        </w:rPr>
        <w:t>最终实际确定各品种、等级的数量，其中：</w:t>
      </w:r>
    </w:p>
    <w:p w14:paraId="0A7C4758">
      <w:pPr>
        <w:spacing w:line="360" w:lineRule="auto"/>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用吨袋/编织袋装的速冻玉米数量的确认：装吨袋的玉米在装车时按照每车装车的各等级，每袋抽取50</w:t>
      </w:r>
      <w:r>
        <w:rPr>
          <w:rFonts w:hint="eastAsia" w:ascii="仿宋_GB2312" w:hAnsi="仿宋_GB2312" w:eastAsia="仿宋_GB2312" w:cs="仿宋_GB2312"/>
          <w:color w:val="auto"/>
          <w:sz w:val="28"/>
          <w:szCs w:val="28"/>
          <w:highlight w:val="none"/>
          <w:lang w:eastAsia="zh-CN"/>
        </w:rPr>
        <w:t>个</w:t>
      </w:r>
      <w:r>
        <w:rPr>
          <w:rFonts w:hint="eastAsia" w:ascii="仿宋_GB2312" w:hAnsi="仿宋_GB2312" w:eastAsia="仿宋_GB2312" w:cs="仿宋_GB2312"/>
          <w:color w:val="auto"/>
          <w:sz w:val="28"/>
          <w:szCs w:val="28"/>
          <w:highlight w:val="none"/>
        </w:rPr>
        <w:t>，计算出取样总数的平均重量，再按照每车过秤各等级的净重，算出每车装车各等级的</w:t>
      </w:r>
      <w:r>
        <w:rPr>
          <w:rFonts w:hint="eastAsia" w:ascii="仿宋_GB2312" w:hAnsi="仿宋_GB2312" w:eastAsia="仿宋_GB2312" w:cs="仿宋_GB2312"/>
          <w:color w:val="auto"/>
          <w:sz w:val="28"/>
          <w:szCs w:val="28"/>
          <w:highlight w:val="none"/>
          <w:lang w:eastAsia="zh-CN"/>
        </w:rPr>
        <w:t>个</w:t>
      </w:r>
      <w:r>
        <w:rPr>
          <w:rFonts w:hint="eastAsia" w:ascii="仿宋_GB2312" w:hAnsi="仿宋_GB2312" w:eastAsia="仿宋_GB2312" w:cs="仿宋_GB2312"/>
          <w:color w:val="auto"/>
          <w:sz w:val="28"/>
          <w:szCs w:val="28"/>
          <w:highlight w:val="none"/>
        </w:rPr>
        <w:t>数。装编织袋的玉米在装车时按照每车装车的各等级，按照国标抽样比例进行抽样（见附表），按照抽样袋数的</w:t>
      </w:r>
      <w:r>
        <w:rPr>
          <w:rFonts w:hint="eastAsia" w:ascii="仿宋_GB2312" w:hAnsi="仿宋_GB2312" w:eastAsia="仿宋_GB2312" w:cs="仿宋_GB2312"/>
          <w:color w:val="auto"/>
          <w:sz w:val="28"/>
          <w:szCs w:val="28"/>
          <w:highlight w:val="none"/>
          <w:lang w:eastAsia="zh-CN"/>
        </w:rPr>
        <w:t>个</w:t>
      </w:r>
      <w:r>
        <w:rPr>
          <w:rFonts w:hint="eastAsia" w:ascii="仿宋_GB2312" w:hAnsi="仿宋_GB2312" w:eastAsia="仿宋_GB2312" w:cs="仿宋_GB2312"/>
          <w:color w:val="auto"/>
          <w:sz w:val="28"/>
          <w:szCs w:val="28"/>
          <w:highlight w:val="none"/>
        </w:rPr>
        <w:t>数取平均</w:t>
      </w:r>
      <w:r>
        <w:rPr>
          <w:rFonts w:hint="eastAsia" w:ascii="仿宋_GB2312" w:hAnsi="仿宋_GB2312" w:eastAsia="仿宋_GB2312" w:cs="仿宋_GB2312"/>
          <w:color w:val="auto"/>
          <w:sz w:val="28"/>
          <w:szCs w:val="28"/>
          <w:highlight w:val="none"/>
          <w:lang w:eastAsia="zh-CN"/>
        </w:rPr>
        <w:t>个</w:t>
      </w:r>
      <w:r>
        <w:rPr>
          <w:rFonts w:hint="eastAsia" w:ascii="仿宋_GB2312" w:hAnsi="仿宋_GB2312" w:eastAsia="仿宋_GB2312" w:cs="仿宋_GB2312"/>
          <w:color w:val="auto"/>
          <w:sz w:val="28"/>
          <w:szCs w:val="28"/>
          <w:highlight w:val="none"/>
        </w:rPr>
        <w:t>数，以此确定每袋装玉米的</w:t>
      </w:r>
      <w:r>
        <w:rPr>
          <w:rFonts w:hint="eastAsia" w:ascii="仿宋_GB2312" w:hAnsi="仿宋_GB2312" w:eastAsia="仿宋_GB2312" w:cs="仿宋_GB2312"/>
          <w:color w:val="auto"/>
          <w:sz w:val="28"/>
          <w:szCs w:val="28"/>
          <w:highlight w:val="none"/>
          <w:lang w:eastAsia="zh-CN"/>
        </w:rPr>
        <w:t>个</w:t>
      </w:r>
      <w:r>
        <w:rPr>
          <w:rFonts w:hint="eastAsia" w:ascii="仿宋_GB2312" w:hAnsi="仿宋_GB2312" w:eastAsia="仿宋_GB2312" w:cs="仿宋_GB2312"/>
          <w:color w:val="auto"/>
          <w:sz w:val="28"/>
          <w:szCs w:val="28"/>
          <w:highlight w:val="none"/>
        </w:rPr>
        <w:t>数。</w:t>
      </w:r>
    </w:p>
    <w:p w14:paraId="061BAB25">
      <w:pPr>
        <w:ind w:firstLine="600" w:firstLineChars="200"/>
        <w:rPr>
          <w:rFonts w:hint="eastAsia" w:ascii="仿宋_GB2312" w:hAnsi="仿宋" w:eastAsia="仿宋_GB2312"/>
          <w:color w:val="auto"/>
          <w:spacing w:val="-10"/>
          <w:kern w:val="21"/>
          <w:sz w:val="32"/>
          <w:szCs w:val="32"/>
          <w:highlight w:val="none"/>
          <w:shd w:val="clear" w:color="auto" w:fill="FFFFFF"/>
        </w:rPr>
      </w:pPr>
      <w:r>
        <w:rPr>
          <w:rFonts w:hint="eastAsia" w:ascii="仿宋_GB2312" w:hAnsi="仿宋" w:eastAsia="仿宋_GB2312"/>
          <w:color w:val="auto"/>
          <w:spacing w:val="-10"/>
          <w:kern w:val="21"/>
          <w:sz w:val="32"/>
          <w:szCs w:val="32"/>
          <w:highlight w:val="none"/>
          <w:shd w:val="clear" w:color="auto" w:fill="FFFFFF"/>
        </w:rPr>
        <w:t>附表：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418C6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840" w:type="dxa"/>
          </w:tcPr>
          <w:p w14:paraId="70B61FA6">
            <w:pPr>
              <w:jc w:val="center"/>
              <w:rPr>
                <w:rFonts w:hint="eastAsia"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批量范围（件/袋）</w:t>
            </w:r>
          </w:p>
        </w:tc>
        <w:tc>
          <w:tcPr>
            <w:tcW w:w="2841" w:type="dxa"/>
          </w:tcPr>
          <w:p w14:paraId="6E2FA387">
            <w:pPr>
              <w:jc w:val="center"/>
              <w:rPr>
                <w:rFonts w:hint="eastAsia"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抽样比例</w:t>
            </w:r>
          </w:p>
        </w:tc>
        <w:tc>
          <w:tcPr>
            <w:tcW w:w="2841" w:type="dxa"/>
          </w:tcPr>
          <w:p w14:paraId="45F1C105">
            <w:pPr>
              <w:jc w:val="center"/>
              <w:rPr>
                <w:rFonts w:hint="eastAsia"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最低抽样数量（件/袋）</w:t>
            </w:r>
          </w:p>
        </w:tc>
      </w:tr>
      <w:tr w14:paraId="227AD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2175A3E">
            <w:pPr>
              <w:jc w:val="center"/>
              <w:rPr>
                <w:rFonts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1-100</w:t>
            </w:r>
          </w:p>
        </w:tc>
        <w:tc>
          <w:tcPr>
            <w:tcW w:w="2841" w:type="dxa"/>
          </w:tcPr>
          <w:p w14:paraId="5CA80EC9">
            <w:pPr>
              <w:jc w:val="center"/>
              <w:rPr>
                <w:rFonts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10%</w:t>
            </w:r>
          </w:p>
        </w:tc>
        <w:tc>
          <w:tcPr>
            <w:tcW w:w="2841" w:type="dxa"/>
          </w:tcPr>
          <w:p w14:paraId="61720247">
            <w:pPr>
              <w:jc w:val="center"/>
              <w:rPr>
                <w:rFonts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5</w:t>
            </w:r>
          </w:p>
        </w:tc>
      </w:tr>
      <w:tr w14:paraId="62526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D478B54">
            <w:pPr>
              <w:jc w:val="center"/>
              <w:rPr>
                <w:rFonts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101-500</w:t>
            </w:r>
          </w:p>
        </w:tc>
        <w:tc>
          <w:tcPr>
            <w:tcW w:w="2841" w:type="dxa"/>
          </w:tcPr>
          <w:p w14:paraId="2C957A73">
            <w:pPr>
              <w:jc w:val="center"/>
              <w:rPr>
                <w:rFonts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5%</w:t>
            </w:r>
          </w:p>
        </w:tc>
        <w:tc>
          <w:tcPr>
            <w:tcW w:w="2841" w:type="dxa"/>
          </w:tcPr>
          <w:p w14:paraId="3CDB8FF6">
            <w:pPr>
              <w:jc w:val="center"/>
              <w:rPr>
                <w:rFonts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10</w:t>
            </w:r>
          </w:p>
        </w:tc>
      </w:tr>
      <w:tr w14:paraId="41A06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59BCD60">
            <w:pPr>
              <w:jc w:val="center"/>
              <w:rPr>
                <w:rFonts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501-1000</w:t>
            </w:r>
          </w:p>
        </w:tc>
        <w:tc>
          <w:tcPr>
            <w:tcW w:w="2841" w:type="dxa"/>
          </w:tcPr>
          <w:p w14:paraId="6009D6EC">
            <w:pPr>
              <w:jc w:val="center"/>
              <w:rPr>
                <w:rFonts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3%</w:t>
            </w:r>
          </w:p>
        </w:tc>
        <w:tc>
          <w:tcPr>
            <w:tcW w:w="2841" w:type="dxa"/>
          </w:tcPr>
          <w:p w14:paraId="472EF132">
            <w:pPr>
              <w:jc w:val="center"/>
              <w:rPr>
                <w:rFonts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15</w:t>
            </w:r>
          </w:p>
        </w:tc>
      </w:tr>
      <w:tr w14:paraId="346B9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9E84EB6">
            <w:pPr>
              <w:jc w:val="center"/>
              <w:rPr>
                <w:rFonts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1001以上</w:t>
            </w:r>
          </w:p>
        </w:tc>
        <w:tc>
          <w:tcPr>
            <w:tcW w:w="2841" w:type="dxa"/>
          </w:tcPr>
          <w:p w14:paraId="1AB692D9">
            <w:pPr>
              <w:jc w:val="center"/>
              <w:rPr>
                <w:rFonts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2%</w:t>
            </w:r>
          </w:p>
        </w:tc>
        <w:tc>
          <w:tcPr>
            <w:tcW w:w="2841" w:type="dxa"/>
          </w:tcPr>
          <w:p w14:paraId="62EBE1C7">
            <w:pPr>
              <w:jc w:val="center"/>
              <w:rPr>
                <w:rFonts w:ascii="仿宋_GB2312" w:hAnsi="仿宋" w:eastAsia="仿宋_GB2312"/>
                <w:color w:val="auto"/>
                <w:spacing w:val="-10"/>
                <w:kern w:val="21"/>
                <w:sz w:val="28"/>
                <w:szCs w:val="28"/>
                <w:highlight w:val="none"/>
                <w:shd w:val="clear" w:color="auto" w:fill="FFFFFF"/>
              </w:rPr>
            </w:pPr>
            <w:r>
              <w:rPr>
                <w:rFonts w:hint="eastAsia" w:ascii="仿宋_GB2312" w:hAnsi="仿宋" w:eastAsia="仿宋_GB2312"/>
                <w:color w:val="auto"/>
                <w:spacing w:val="-10"/>
                <w:kern w:val="21"/>
                <w:sz w:val="28"/>
                <w:szCs w:val="28"/>
                <w:highlight w:val="none"/>
                <w:shd w:val="clear" w:color="auto" w:fill="FFFFFF"/>
              </w:rPr>
              <w:t>20</w:t>
            </w:r>
          </w:p>
        </w:tc>
      </w:tr>
    </w:tbl>
    <w:p w14:paraId="207A8231">
      <w:pPr>
        <w:numPr>
          <w:ilvl w:val="0"/>
          <w:numId w:val="0"/>
        </w:numPr>
        <w:spacing w:line="360" w:lineRule="auto"/>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kern w:val="2"/>
          <w:sz w:val="28"/>
          <w:szCs w:val="28"/>
          <w:highlight w:val="none"/>
          <w:lang w:val="en-US" w:eastAsia="zh-CN" w:bidi="ar-SA"/>
        </w:rPr>
        <w:t>3.</w:t>
      </w:r>
      <w:r>
        <w:rPr>
          <w:rFonts w:hint="eastAsia" w:ascii="仿宋_GB2312" w:hAnsi="仿宋_GB2312" w:eastAsia="仿宋_GB2312" w:cs="仿宋_GB2312"/>
          <w:color w:val="auto"/>
          <w:sz w:val="28"/>
          <w:szCs w:val="28"/>
          <w:highlight w:val="none"/>
        </w:rPr>
        <w:t>交货方式：乙方自提，</w:t>
      </w:r>
      <w:r>
        <w:rPr>
          <w:rFonts w:hint="eastAsia" w:ascii="仿宋_GB2312" w:hAnsi="仿宋_GB2312" w:eastAsia="仿宋_GB2312" w:cs="仿宋_GB2312"/>
          <w:color w:val="auto"/>
          <w:sz w:val="28"/>
          <w:szCs w:val="28"/>
          <w:highlight w:val="none"/>
          <w:lang w:val="en-US" w:eastAsia="zh-CN"/>
        </w:rPr>
        <w:t>甲方承担装车费用，</w:t>
      </w:r>
      <w:r>
        <w:rPr>
          <w:rFonts w:hint="eastAsia" w:ascii="仿宋_GB2312" w:hAnsi="仿宋_GB2312" w:eastAsia="仿宋_GB2312" w:cs="仿宋_GB2312"/>
          <w:color w:val="auto"/>
          <w:sz w:val="28"/>
          <w:szCs w:val="28"/>
          <w:highlight w:val="none"/>
        </w:rPr>
        <w:t>车辆物流费用及卸车费用由乙方承担。</w:t>
      </w:r>
    </w:p>
    <w:p w14:paraId="7C0FD11C">
      <w:pPr>
        <w:numPr>
          <w:ilvl w:val="0"/>
          <w:numId w:val="0"/>
        </w:numPr>
        <w:spacing w:line="360" w:lineRule="auto"/>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kern w:val="2"/>
          <w:sz w:val="28"/>
          <w:szCs w:val="28"/>
          <w:highlight w:val="none"/>
          <w:lang w:val="en-US" w:eastAsia="zh-CN" w:bidi="ar-SA"/>
        </w:rPr>
        <w:t>4.</w:t>
      </w:r>
      <w:bookmarkStart w:id="19" w:name="auto_fouce_21"/>
      <w:r>
        <w:rPr>
          <w:rFonts w:hint="eastAsia" w:ascii="仿宋_GB2312" w:hAnsi="仿宋_GB2312" w:eastAsia="仿宋_GB2312" w:cs="仿宋_GB2312"/>
          <w:color w:val="auto"/>
          <w:sz w:val="28"/>
          <w:szCs w:val="28"/>
          <w:highlight w:val="none"/>
        </w:rPr>
        <w:t>若</w:t>
      </w:r>
      <w:r>
        <w:rPr>
          <w:rFonts w:hint="eastAsia" w:ascii="仿宋_GB2312" w:hAnsi="仿宋_GB2312" w:eastAsia="仿宋_GB2312" w:cs="仿宋_GB2312"/>
          <w:color w:val="auto"/>
          <w:sz w:val="28"/>
          <w:szCs w:val="28"/>
          <w:highlight w:val="none"/>
          <w:lang w:val="en-US" w:eastAsia="zh-CN"/>
        </w:rPr>
        <w:t>乙方</w:t>
      </w:r>
      <w:r>
        <w:rPr>
          <w:rFonts w:hint="eastAsia" w:ascii="仿宋_GB2312" w:hAnsi="仿宋_GB2312" w:eastAsia="仿宋_GB2312" w:cs="仿宋_GB2312"/>
          <w:color w:val="auto"/>
          <w:sz w:val="28"/>
          <w:szCs w:val="28"/>
          <w:highlight w:val="none"/>
        </w:rPr>
        <w:t>需进行二次挑选或加工，</w:t>
      </w:r>
      <w:r>
        <w:rPr>
          <w:rFonts w:hint="eastAsia" w:ascii="仿宋_GB2312" w:hAnsi="仿宋_GB2312" w:eastAsia="仿宋_GB2312" w:cs="仿宋_GB2312"/>
          <w:color w:val="auto"/>
          <w:sz w:val="28"/>
          <w:szCs w:val="28"/>
          <w:highlight w:val="none"/>
          <w:lang w:val="en-US" w:eastAsia="zh-CN"/>
        </w:rPr>
        <w:t>甲方</w:t>
      </w:r>
      <w:r>
        <w:rPr>
          <w:rFonts w:hint="eastAsia" w:ascii="仿宋_GB2312" w:hAnsi="仿宋_GB2312" w:eastAsia="仿宋_GB2312" w:cs="仿宋_GB2312"/>
          <w:color w:val="auto"/>
          <w:sz w:val="28"/>
          <w:szCs w:val="28"/>
          <w:highlight w:val="none"/>
        </w:rPr>
        <w:t>仅无偿提供场地（不包含加工设备使用），水、电、人工等其他费用均由</w:t>
      </w:r>
      <w:r>
        <w:rPr>
          <w:rFonts w:hint="eastAsia" w:ascii="仿宋_GB2312" w:hAnsi="仿宋_GB2312" w:eastAsia="仿宋_GB2312" w:cs="仿宋_GB2312"/>
          <w:color w:val="auto"/>
          <w:sz w:val="28"/>
          <w:szCs w:val="28"/>
          <w:highlight w:val="none"/>
          <w:lang w:val="en-US" w:eastAsia="zh-CN"/>
        </w:rPr>
        <w:t>乙方</w:t>
      </w:r>
      <w:r>
        <w:rPr>
          <w:rFonts w:hint="eastAsia" w:ascii="仿宋_GB2312" w:hAnsi="仿宋_GB2312" w:eastAsia="仿宋_GB2312" w:cs="仿宋_GB2312"/>
          <w:color w:val="auto"/>
          <w:sz w:val="28"/>
          <w:szCs w:val="28"/>
          <w:highlight w:val="none"/>
        </w:rPr>
        <w:t>自行承担，</w:t>
      </w:r>
      <w:r>
        <w:rPr>
          <w:rFonts w:hint="eastAsia" w:ascii="仿宋_GB2312" w:hAnsi="仿宋_GB2312" w:eastAsia="仿宋_GB2312" w:cs="仿宋_GB2312"/>
          <w:color w:val="auto"/>
          <w:sz w:val="28"/>
          <w:szCs w:val="28"/>
          <w:highlight w:val="none"/>
          <w:lang w:val="en-US" w:eastAsia="zh-CN"/>
        </w:rPr>
        <w:t>生产及人员安全责任全部由乙方自行承担，</w:t>
      </w:r>
      <w:r>
        <w:rPr>
          <w:rFonts w:hint="eastAsia" w:ascii="仿宋_GB2312" w:hAnsi="仿宋_GB2312" w:eastAsia="仿宋_GB2312" w:cs="仿宋_GB2312"/>
          <w:color w:val="auto"/>
          <w:sz w:val="28"/>
          <w:szCs w:val="28"/>
          <w:highlight w:val="none"/>
        </w:rPr>
        <w:t>具体条款双方</w:t>
      </w:r>
      <w:r>
        <w:rPr>
          <w:rFonts w:hint="eastAsia" w:ascii="仿宋_GB2312" w:hAnsi="仿宋_GB2312" w:eastAsia="仿宋_GB2312" w:cs="仿宋_GB2312"/>
          <w:color w:val="auto"/>
          <w:sz w:val="28"/>
          <w:szCs w:val="28"/>
          <w:highlight w:val="none"/>
          <w:lang w:val="en-US" w:eastAsia="zh-CN"/>
        </w:rPr>
        <w:t>另行协商签订补充合同，作为本合同的附本，与本合同具有同等法律效力</w:t>
      </w:r>
      <w:r>
        <w:rPr>
          <w:rFonts w:hint="eastAsia" w:ascii="仿宋_GB2312" w:hAnsi="仿宋_GB2312" w:eastAsia="仿宋_GB2312" w:cs="仿宋_GB2312"/>
          <w:color w:val="auto"/>
          <w:sz w:val="28"/>
          <w:szCs w:val="28"/>
          <w:highlight w:val="none"/>
        </w:rPr>
        <w:t>。</w:t>
      </w:r>
      <w:bookmarkEnd w:id="19"/>
    </w:p>
    <w:p w14:paraId="7A469F26">
      <w:pPr>
        <w:spacing w:line="360" w:lineRule="auto"/>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5</w:t>
      </w:r>
      <w:r>
        <w:rPr>
          <w:rFonts w:hint="eastAsia" w:ascii="仿宋_GB2312" w:hAnsi="仿宋_GB2312" w:eastAsia="仿宋_GB2312" w:cs="仿宋_GB2312"/>
          <w:color w:val="auto"/>
          <w:sz w:val="28"/>
          <w:szCs w:val="28"/>
          <w:highlight w:val="none"/>
          <w:lang w:eastAsia="zh-CN"/>
        </w:rPr>
        <w:t>.</w:t>
      </w:r>
      <w:bookmarkStart w:id="20" w:name="auto_fouce_22"/>
      <w:r>
        <w:rPr>
          <w:rFonts w:hint="eastAsia" w:ascii="仿宋_GB2312" w:hAnsi="仿宋_GB2312" w:eastAsia="仿宋_GB2312" w:cs="仿宋_GB2312"/>
          <w:color w:val="auto"/>
          <w:sz w:val="28"/>
          <w:szCs w:val="28"/>
          <w:highlight w:val="none"/>
        </w:rPr>
        <w:t>产品离库后，</w:t>
      </w:r>
      <w:r>
        <w:rPr>
          <w:rFonts w:hint="eastAsia" w:ascii="仿宋_GB2312" w:hAnsi="仿宋_GB2312" w:eastAsia="仿宋_GB2312" w:cs="仿宋_GB2312"/>
          <w:color w:val="auto"/>
          <w:sz w:val="28"/>
          <w:szCs w:val="28"/>
          <w:highlight w:val="none"/>
          <w:lang w:val="en-US" w:eastAsia="zh-CN"/>
        </w:rPr>
        <w:t>乙方不得以口感、质量、数量等任何因素提出售后要求，</w:t>
      </w:r>
      <w:r>
        <w:rPr>
          <w:rFonts w:hint="eastAsia" w:ascii="仿宋_GB2312" w:hAnsi="仿宋_GB2312" w:eastAsia="仿宋_GB2312" w:cs="仿宋_GB2312"/>
          <w:color w:val="auto"/>
          <w:sz w:val="28"/>
          <w:szCs w:val="28"/>
          <w:highlight w:val="none"/>
        </w:rPr>
        <w:t>甲方</w:t>
      </w:r>
      <w:r>
        <w:rPr>
          <w:rFonts w:hint="eastAsia" w:ascii="仿宋_GB2312" w:hAnsi="仿宋_GB2312" w:eastAsia="仿宋_GB2312" w:cs="仿宋_GB2312"/>
          <w:color w:val="auto"/>
          <w:sz w:val="28"/>
          <w:szCs w:val="28"/>
          <w:highlight w:val="none"/>
          <w:lang w:eastAsia="zh-CN"/>
        </w:rPr>
        <w:t>对</w:t>
      </w:r>
      <w:r>
        <w:rPr>
          <w:rFonts w:hint="eastAsia" w:ascii="仿宋_GB2312" w:hAnsi="仿宋_GB2312" w:eastAsia="仿宋_GB2312" w:cs="仿宋_GB2312"/>
          <w:color w:val="auto"/>
          <w:sz w:val="28"/>
          <w:szCs w:val="28"/>
          <w:highlight w:val="none"/>
        </w:rPr>
        <w:t>乙方提出的</w:t>
      </w:r>
      <w:r>
        <w:rPr>
          <w:rFonts w:hint="eastAsia" w:ascii="仿宋_GB2312" w:hAnsi="仿宋_GB2312" w:eastAsia="仿宋_GB2312" w:cs="仿宋_GB2312"/>
          <w:color w:val="auto"/>
          <w:sz w:val="28"/>
          <w:szCs w:val="28"/>
          <w:highlight w:val="none"/>
          <w:lang w:val="en-US" w:eastAsia="zh-CN"/>
        </w:rPr>
        <w:t>任何</w:t>
      </w:r>
      <w:r>
        <w:rPr>
          <w:rFonts w:hint="eastAsia" w:ascii="仿宋_GB2312" w:hAnsi="仿宋_GB2312" w:eastAsia="仿宋_GB2312" w:cs="仿宋_GB2312"/>
          <w:color w:val="auto"/>
          <w:sz w:val="28"/>
          <w:szCs w:val="28"/>
          <w:highlight w:val="none"/>
        </w:rPr>
        <w:t>质量异议</w:t>
      </w:r>
      <w:r>
        <w:rPr>
          <w:rFonts w:hint="eastAsia" w:ascii="仿宋_GB2312" w:hAnsi="仿宋_GB2312" w:eastAsia="仿宋_GB2312" w:cs="仿宋_GB2312"/>
          <w:color w:val="auto"/>
          <w:sz w:val="28"/>
          <w:szCs w:val="28"/>
          <w:highlight w:val="none"/>
          <w:lang w:eastAsia="zh-CN"/>
        </w:rPr>
        <w:t>均不予受理。产品交付以离库时现状为准</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eastAsia="zh-CN"/>
        </w:rPr>
        <w:t>无论因何种原因（包括但不限于污染</w:t>
      </w:r>
      <w:r>
        <w:rPr>
          <w:rFonts w:hint="eastAsia" w:ascii="仿宋_GB2312" w:hAnsi="仿宋_GB2312" w:eastAsia="仿宋_GB2312" w:cs="仿宋_GB2312"/>
          <w:color w:val="auto"/>
          <w:sz w:val="28"/>
          <w:szCs w:val="28"/>
          <w:highlight w:val="none"/>
        </w:rPr>
        <w:t>、破损、保存温度</w:t>
      </w:r>
      <w:r>
        <w:rPr>
          <w:rFonts w:hint="eastAsia" w:ascii="仿宋_GB2312" w:hAnsi="仿宋_GB2312" w:eastAsia="仿宋_GB2312" w:cs="仿宋_GB2312"/>
          <w:color w:val="auto"/>
          <w:sz w:val="28"/>
          <w:szCs w:val="28"/>
          <w:highlight w:val="none"/>
          <w:lang w:eastAsia="zh-CN"/>
        </w:rPr>
        <w:t>变化</w:t>
      </w:r>
      <w:r>
        <w:rPr>
          <w:rFonts w:hint="eastAsia" w:ascii="仿宋_GB2312" w:hAnsi="仿宋_GB2312" w:eastAsia="仿宋_GB2312" w:cs="仿宋_GB2312"/>
          <w:color w:val="auto"/>
          <w:sz w:val="28"/>
          <w:szCs w:val="28"/>
          <w:highlight w:val="none"/>
        </w:rPr>
        <w:t>等</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导致的</w:t>
      </w:r>
      <w:r>
        <w:rPr>
          <w:rFonts w:hint="eastAsia" w:ascii="仿宋_GB2312" w:hAnsi="仿宋_GB2312" w:eastAsia="仿宋_GB2312" w:cs="仿宋_GB2312"/>
          <w:color w:val="auto"/>
          <w:sz w:val="28"/>
          <w:szCs w:val="28"/>
          <w:highlight w:val="none"/>
          <w:lang w:eastAsia="zh-CN"/>
        </w:rPr>
        <w:t>产品毁损、灭失或价值减损</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eastAsia="zh-CN"/>
        </w:rPr>
        <w:t>风险及责任均由</w:t>
      </w:r>
      <w:r>
        <w:rPr>
          <w:rFonts w:hint="eastAsia" w:ascii="仿宋_GB2312" w:hAnsi="仿宋_GB2312" w:eastAsia="仿宋_GB2312" w:cs="仿宋_GB2312"/>
          <w:color w:val="auto"/>
          <w:sz w:val="28"/>
          <w:szCs w:val="28"/>
          <w:highlight w:val="none"/>
        </w:rPr>
        <w:t>乙方</w:t>
      </w:r>
      <w:r>
        <w:rPr>
          <w:rFonts w:hint="eastAsia" w:ascii="仿宋_GB2312" w:hAnsi="仿宋_GB2312" w:eastAsia="仿宋_GB2312" w:cs="仿宋_GB2312"/>
          <w:color w:val="auto"/>
          <w:sz w:val="28"/>
          <w:szCs w:val="28"/>
          <w:highlight w:val="none"/>
          <w:lang w:eastAsia="zh-CN"/>
        </w:rPr>
        <w:t>自行承担，乙方不得据此</w:t>
      </w:r>
      <w:r>
        <w:rPr>
          <w:rFonts w:hint="eastAsia" w:ascii="仿宋_GB2312" w:hAnsi="仿宋_GB2312" w:eastAsia="仿宋_GB2312" w:cs="仿宋_GB2312"/>
          <w:color w:val="auto"/>
          <w:sz w:val="28"/>
          <w:szCs w:val="28"/>
          <w:highlight w:val="none"/>
        </w:rPr>
        <w:t>要求甲方</w:t>
      </w:r>
      <w:r>
        <w:rPr>
          <w:rFonts w:hint="eastAsia" w:ascii="仿宋_GB2312" w:hAnsi="仿宋_GB2312" w:eastAsia="仿宋_GB2312" w:cs="仿宋_GB2312"/>
          <w:color w:val="auto"/>
          <w:sz w:val="28"/>
          <w:szCs w:val="28"/>
          <w:highlight w:val="none"/>
          <w:lang w:eastAsia="zh-CN"/>
        </w:rPr>
        <w:t>承担任何责任</w:t>
      </w:r>
      <w:r>
        <w:rPr>
          <w:rFonts w:hint="eastAsia" w:ascii="仿宋_GB2312" w:hAnsi="仿宋_GB2312" w:eastAsia="仿宋_GB2312" w:cs="仿宋_GB2312"/>
          <w:color w:val="auto"/>
          <w:sz w:val="28"/>
          <w:szCs w:val="28"/>
          <w:highlight w:val="none"/>
        </w:rPr>
        <w:t>。同时</w:t>
      </w:r>
      <w:r>
        <w:rPr>
          <w:rFonts w:hint="eastAsia" w:ascii="仿宋_GB2312" w:hAnsi="仿宋_GB2312" w:eastAsia="仿宋_GB2312" w:cs="仿宋_GB2312"/>
          <w:color w:val="auto"/>
          <w:sz w:val="28"/>
          <w:szCs w:val="28"/>
          <w:highlight w:val="none"/>
          <w:lang w:eastAsia="zh-CN"/>
        </w:rPr>
        <w:t>，乙方</w:t>
      </w:r>
      <w:r>
        <w:rPr>
          <w:rFonts w:hint="eastAsia" w:ascii="仿宋_GB2312" w:hAnsi="仿宋_GB2312" w:eastAsia="仿宋_GB2312" w:cs="仿宋_GB2312"/>
          <w:color w:val="auto"/>
          <w:sz w:val="28"/>
          <w:szCs w:val="28"/>
          <w:highlight w:val="none"/>
        </w:rPr>
        <w:t>不得宣传负面信息抹黑甲方及甲方品牌，</w:t>
      </w:r>
      <w:r>
        <w:rPr>
          <w:rFonts w:hint="eastAsia" w:ascii="仿宋_GB2312" w:hAnsi="仿宋_GB2312" w:eastAsia="仿宋_GB2312" w:cs="仿宋_GB2312"/>
          <w:color w:val="auto"/>
          <w:sz w:val="28"/>
          <w:szCs w:val="28"/>
          <w:highlight w:val="none"/>
          <w:lang w:eastAsia="zh-CN"/>
        </w:rPr>
        <w:t>若</w:t>
      </w:r>
      <w:r>
        <w:rPr>
          <w:rFonts w:hint="eastAsia" w:ascii="仿宋_GB2312" w:hAnsi="仿宋_GB2312" w:eastAsia="仿宋_GB2312" w:cs="仿宋_GB2312"/>
          <w:color w:val="auto"/>
          <w:sz w:val="28"/>
          <w:szCs w:val="28"/>
          <w:highlight w:val="none"/>
        </w:rPr>
        <w:t>给甲方造成负面影响，甲方有权追究乙方法律责任。乙方应妥善处理受损产品</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不得</w:t>
      </w:r>
      <w:r>
        <w:rPr>
          <w:rFonts w:hint="eastAsia" w:ascii="仿宋_GB2312" w:hAnsi="仿宋_GB2312" w:eastAsia="仿宋_GB2312" w:cs="仿宋_GB2312"/>
          <w:color w:val="auto"/>
          <w:sz w:val="28"/>
          <w:szCs w:val="28"/>
          <w:highlight w:val="none"/>
          <w:lang w:eastAsia="zh-CN"/>
        </w:rPr>
        <w:t>将其流入</w:t>
      </w:r>
      <w:r>
        <w:rPr>
          <w:rFonts w:hint="eastAsia" w:ascii="仿宋_GB2312" w:hAnsi="仿宋_GB2312" w:eastAsia="仿宋_GB2312" w:cs="仿宋_GB2312"/>
          <w:color w:val="auto"/>
          <w:sz w:val="28"/>
          <w:szCs w:val="28"/>
          <w:highlight w:val="none"/>
        </w:rPr>
        <w:t>市场对外销售，否则视为违约，乙方应向甲方支付合同金额20%的违约金，并承担因此给甲方造成的一切经济损失。</w:t>
      </w:r>
      <w:bookmarkEnd w:id="17"/>
      <w:bookmarkEnd w:id="20"/>
    </w:p>
    <w:p w14:paraId="405F31B5">
      <w:pPr>
        <w:tabs>
          <w:tab w:val="left" w:pos="840"/>
        </w:tabs>
        <w:spacing w:line="360" w:lineRule="auto"/>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6</w:t>
      </w:r>
      <w:r>
        <w:rPr>
          <w:rFonts w:hint="eastAsia" w:ascii="仿宋_GB2312" w:hAnsi="仿宋_GB2312" w:eastAsia="仿宋_GB2312" w:cs="仿宋_GB2312"/>
          <w:color w:val="auto"/>
          <w:sz w:val="28"/>
          <w:szCs w:val="28"/>
          <w:highlight w:val="none"/>
        </w:rPr>
        <w:t>.联系方式</w:t>
      </w:r>
    </w:p>
    <w:p w14:paraId="4D612ABC">
      <w:pPr>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bidi="ar"/>
        </w:rPr>
        <w:t>双方一致认可指定的联系人代表本公司处理双方之间的业务，双方认可通过指定邮箱传输的相关材料代表本公司的意思表示，具有法律效力。</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1"/>
        <w:gridCol w:w="1992"/>
        <w:gridCol w:w="2100"/>
        <w:gridCol w:w="3033"/>
      </w:tblGrid>
      <w:tr w14:paraId="4B416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1" w:type="dxa"/>
            <w:tcBorders>
              <w:top w:val="single" w:color="auto" w:sz="4" w:space="0"/>
              <w:left w:val="single" w:color="auto" w:sz="4" w:space="0"/>
              <w:bottom w:val="single" w:color="auto" w:sz="4" w:space="0"/>
              <w:right w:val="single" w:color="auto" w:sz="4" w:space="0"/>
            </w:tcBorders>
          </w:tcPr>
          <w:p w14:paraId="10A0524C">
            <w:pPr>
              <w:jc w:val="center"/>
              <w:rPr>
                <w:rFonts w:hint="eastAsia" w:ascii="仿宋_GB2312" w:hAnsi="仿宋_GB2312" w:eastAsia="仿宋_GB2312" w:cs="仿宋_GB2312"/>
                <w:color w:val="auto"/>
                <w:sz w:val="28"/>
                <w:szCs w:val="28"/>
                <w:highlight w:val="none"/>
              </w:rPr>
            </w:pPr>
            <w:bookmarkStart w:id="21" w:name="tip_risk_bookmark_23"/>
            <w:r>
              <w:rPr>
                <w:rFonts w:hint="eastAsia" w:ascii="仿宋_GB2312" w:hAnsi="仿宋_GB2312" w:eastAsia="仿宋_GB2312" w:cs="仿宋_GB2312"/>
                <w:color w:val="auto"/>
                <w:sz w:val="28"/>
                <w:szCs w:val="28"/>
                <w:highlight w:val="none"/>
              </w:rPr>
              <w:t>合作双方</w:t>
            </w:r>
          </w:p>
        </w:tc>
        <w:tc>
          <w:tcPr>
            <w:tcW w:w="1992" w:type="dxa"/>
            <w:tcBorders>
              <w:top w:val="single" w:color="auto" w:sz="4" w:space="0"/>
              <w:left w:val="single" w:color="auto" w:sz="4" w:space="0"/>
              <w:bottom w:val="single" w:color="auto" w:sz="4" w:space="0"/>
              <w:right w:val="single" w:color="auto" w:sz="4" w:space="0"/>
            </w:tcBorders>
          </w:tcPr>
          <w:p w14:paraId="08A53712">
            <w:pPr>
              <w:jc w:val="cente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bidi="ar"/>
              </w:rPr>
              <w:t>指定联系人</w:t>
            </w:r>
          </w:p>
        </w:tc>
        <w:tc>
          <w:tcPr>
            <w:tcW w:w="2100" w:type="dxa"/>
            <w:tcBorders>
              <w:top w:val="single" w:color="auto" w:sz="4" w:space="0"/>
              <w:left w:val="single" w:color="auto" w:sz="4" w:space="0"/>
              <w:bottom w:val="single" w:color="auto" w:sz="4" w:space="0"/>
              <w:right w:val="single" w:color="auto" w:sz="4" w:space="0"/>
            </w:tcBorders>
          </w:tcPr>
          <w:p w14:paraId="34BCEC79">
            <w:pPr>
              <w:jc w:val="cente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bidi="ar"/>
              </w:rPr>
              <w:t>联系方式</w:t>
            </w:r>
          </w:p>
        </w:tc>
        <w:tc>
          <w:tcPr>
            <w:tcW w:w="3033" w:type="dxa"/>
            <w:tcBorders>
              <w:top w:val="single" w:color="auto" w:sz="4" w:space="0"/>
              <w:left w:val="single" w:color="auto" w:sz="4" w:space="0"/>
              <w:bottom w:val="single" w:color="auto" w:sz="4" w:space="0"/>
              <w:right w:val="single" w:color="auto" w:sz="4" w:space="0"/>
            </w:tcBorders>
          </w:tcPr>
          <w:p w14:paraId="1BAB8A40">
            <w:pPr>
              <w:jc w:val="cente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bidi="ar"/>
              </w:rPr>
              <w:t>指定邮箱</w:t>
            </w:r>
          </w:p>
        </w:tc>
      </w:tr>
      <w:tr w14:paraId="578F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1" w:type="dxa"/>
            <w:tcBorders>
              <w:top w:val="single" w:color="auto" w:sz="4" w:space="0"/>
              <w:left w:val="single" w:color="auto" w:sz="4" w:space="0"/>
              <w:bottom w:val="single" w:color="auto" w:sz="4" w:space="0"/>
              <w:right w:val="single" w:color="auto" w:sz="4" w:space="0"/>
            </w:tcBorders>
          </w:tcPr>
          <w:p w14:paraId="01113923">
            <w:pPr>
              <w:jc w:val="cente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bidi="ar"/>
              </w:rPr>
              <w:t>甲方</w:t>
            </w:r>
          </w:p>
        </w:tc>
        <w:tc>
          <w:tcPr>
            <w:tcW w:w="1992" w:type="dxa"/>
            <w:tcBorders>
              <w:top w:val="single" w:color="auto" w:sz="4" w:space="0"/>
              <w:left w:val="single" w:color="auto" w:sz="4" w:space="0"/>
              <w:bottom w:val="single" w:color="auto" w:sz="4" w:space="0"/>
              <w:right w:val="single" w:color="auto" w:sz="4" w:space="0"/>
            </w:tcBorders>
          </w:tcPr>
          <w:p w14:paraId="425706A9">
            <w:pPr>
              <w:jc w:val="center"/>
              <w:rPr>
                <w:rFonts w:hint="eastAsia" w:ascii="仿宋_GB2312" w:hAnsi="仿宋_GB2312" w:eastAsia="仿宋_GB2312" w:cs="仿宋_GB2312"/>
                <w:color w:val="auto"/>
                <w:sz w:val="28"/>
                <w:szCs w:val="28"/>
                <w:highlight w:val="none"/>
              </w:rPr>
            </w:pPr>
          </w:p>
        </w:tc>
        <w:tc>
          <w:tcPr>
            <w:tcW w:w="2100" w:type="dxa"/>
            <w:tcBorders>
              <w:top w:val="single" w:color="auto" w:sz="4" w:space="0"/>
              <w:left w:val="single" w:color="auto" w:sz="4" w:space="0"/>
              <w:bottom w:val="single" w:color="auto" w:sz="4" w:space="0"/>
              <w:right w:val="single" w:color="auto" w:sz="4" w:space="0"/>
            </w:tcBorders>
          </w:tcPr>
          <w:p w14:paraId="78A45F36">
            <w:pPr>
              <w:jc w:val="center"/>
              <w:rPr>
                <w:rFonts w:ascii="仿宋_GB2312" w:hAnsi="仿宋_GB2312" w:eastAsia="仿宋_GB2312" w:cs="仿宋_GB2312"/>
                <w:color w:val="auto"/>
                <w:sz w:val="28"/>
                <w:szCs w:val="28"/>
                <w:highlight w:val="none"/>
              </w:rPr>
            </w:pPr>
          </w:p>
        </w:tc>
        <w:tc>
          <w:tcPr>
            <w:tcW w:w="3033" w:type="dxa"/>
            <w:tcBorders>
              <w:top w:val="single" w:color="auto" w:sz="4" w:space="0"/>
              <w:left w:val="single" w:color="auto" w:sz="4" w:space="0"/>
              <w:bottom w:val="single" w:color="auto" w:sz="4" w:space="0"/>
              <w:right w:val="single" w:color="auto" w:sz="4" w:space="0"/>
            </w:tcBorders>
          </w:tcPr>
          <w:p w14:paraId="6841F6FA">
            <w:pPr>
              <w:jc w:val="center"/>
              <w:rPr>
                <w:rFonts w:ascii="仿宋_GB2312" w:hAnsi="仿宋_GB2312" w:eastAsia="仿宋_GB2312" w:cs="仿宋_GB2312"/>
                <w:color w:val="auto"/>
                <w:sz w:val="28"/>
                <w:szCs w:val="28"/>
                <w:highlight w:val="none"/>
              </w:rPr>
            </w:pPr>
          </w:p>
        </w:tc>
      </w:tr>
      <w:tr w14:paraId="3812C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1" w:type="dxa"/>
            <w:tcBorders>
              <w:top w:val="single" w:color="auto" w:sz="4" w:space="0"/>
              <w:left w:val="single" w:color="auto" w:sz="4" w:space="0"/>
              <w:bottom w:val="single" w:color="auto" w:sz="4" w:space="0"/>
              <w:right w:val="single" w:color="auto" w:sz="4" w:space="0"/>
            </w:tcBorders>
          </w:tcPr>
          <w:p w14:paraId="24F2BDFB">
            <w:pPr>
              <w:jc w:val="cente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bidi="ar"/>
              </w:rPr>
              <w:t>乙方</w:t>
            </w:r>
          </w:p>
        </w:tc>
        <w:tc>
          <w:tcPr>
            <w:tcW w:w="1992" w:type="dxa"/>
            <w:tcBorders>
              <w:top w:val="single" w:color="auto" w:sz="4" w:space="0"/>
              <w:left w:val="single" w:color="auto" w:sz="4" w:space="0"/>
              <w:bottom w:val="single" w:color="auto" w:sz="4" w:space="0"/>
              <w:right w:val="single" w:color="auto" w:sz="4" w:space="0"/>
            </w:tcBorders>
          </w:tcPr>
          <w:p w14:paraId="587F04E3">
            <w:pPr>
              <w:jc w:val="center"/>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 </w:t>
            </w:r>
          </w:p>
        </w:tc>
        <w:tc>
          <w:tcPr>
            <w:tcW w:w="2100" w:type="dxa"/>
            <w:tcBorders>
              <w:top w:val="single" w:color="auto" w:sz="4" w:space="0"/>
              <w:left w:val="single" w:color="auto" w:sz="4" w:space="0"/>
              <w:bottom w:val="single" w:color="auto" w:sz="4" w:space="0"/>
              <w:right w:val="single" w:color="auto" w:sz="4" w:space="0"/>
            </w:tcBorders>
          </w:tcPr>
          <w:p w14:paraId="0FCB3AF0">
            <w:pPr>
              <w:jc w:val="center"/>
              <w:rPr>
                <w:rFonts w:ascii="仿宋_GB2312" w:hAnsi="仿宋_GB2312" w:eastAsia="仿宋_GB2312" w:cs="仿宋_GB2312"/>
                <w:color w:val="auto"/>
                <w:sz w:val="28"/>
                <w:szCs w:val="28"/>
                <w:highlight w:val="none"/>
              </w:rPr>
            </w:pPr>
          </w:p>
        </w:tc>
        <w:tc>
          <w:tcPr>
            <w:tcW w:w="3033" w:type="dxa"/>
            <w:tcBorders>
              <w:top w:val="single" w:color="auto" w:sz="4" w:space="0"/>
              <w:left w:val="single" w:color="auto" w:sz="4" w:space="0"/>
              <w:bottom w:val="single" w:color="auto" w:sz="4" w:space="0"/>
              <w:right w:val="single" w:color="auto" w:sz="4" w:space="0"/>
            </w:tcBorders>
          </w:tcPr>
          <w:p w14:paraId="4FF6B48A">
            <w:pPr>
              <w:spacing w:line="480" w:lineRule="auto"/>
              <w:rPr>
                <w:rFonts w:ascii="仿宋_GB2312" w:hAnsi="仿宋_GB2312" w:eastAsia="仿宋_GB2312" w:cs="仿宋_GB2312"/>
                <w:color w:val="auto"/>
                <w:sz w:val="28"/>
                <w:szCs w:val="28"/>
                <w:highlight w:val="none"/>
              </w:rPr>
            </w:pPr>
          </w:p>
        </w:tc>
      </w:tr>
      <w:bookmarkEnd w:id="21"/>
    </w:tbl>
    <w:p w14:paraId="30ED72BF">
      <w:pPr>
        <w:pStyle w:val="16"/>
        <w:numPr>
          <w:ilvl w:val="0"/>
          <w:numId w:val="0"/>
        </w:numPr>
        <w:spacing w:line="360" w:lineRule="auto"/>
        <w:ind w:left="1288" w:leftChars="0" w:hanging="720" w:firstLineChars="0"/>
        <w:rPr>
          <w:rFonts w:hint="eastAsia" w:ascii="仿宋_GB2312" w:hAnsi="仿宋_GB2312" w:eastAsia="仿宋_GB2312" w:cs="仿宋_GB2312"/>
          <w:b/>
          <w:color w:val="auto"/>
          <w:sz w:val="28"/>
          <w:szCs w:val="28"/>
          <w:highlight w:val="none"/>
        </w:rPr>
      </w:pPr>
      <w:r>
        <w:rPr>
          <w:rFonts w:hint="default" w:ascii="仿宋_GB2312" w:hAnsi="仿宋_GB2312" w:eastAsia="仿宋_GB2312" w:cs="仿宋_GB2312"/>
          <w:b/>
          <w:color w:val="auto"/>
          <w:kern w:val="2"/>
          <w:sz w:val="28"/>
          <w:szCs w:val="28"/>
          <w:highlight w:val="none"/>
          <w:lang w:val="en-US" w:eastAsia="zh-CN" w:bidi="ar-SA"/>
        </w:rPr>
        <w:t>第五条</w:t>
      </w:r>
      <w:r>
        <w:rPr>
          <w:rFonts w:hint="eastAsia" w:ascii="仿宋_GB2312" w:hAnsi="仿宋_GB2312" w:eastAsia="仿宋_GB2312" w:cs="仿宋_GB2312"/>
          <w:b/>
          <w:color w:val="auto"/>
          <w:kern w:val="2"/>
          <w:sz w:val="28"/>
          <w:szCs w:val="28"/>
          <w:highlight w:val="none"/>
          <w:lang w:val="en-US" w:eastAsia="zh-CN" w:bidi="ar-SA"/>
        </w:rPr>
        <w:t xml:space="preserve"> </w:t>
      </w:r>
      <w:r>
        <w:rPr>
          <w:rFonts w:hint="eastAsia" w:ascii="仿宋_GB2312" w:hAnsi="仿宋_GB2312" w:eastAsia="仿宋_GB2312" w:cs="仿宋_GB2312"/>
          <w:b/>
          <w:color w:val="auto"/>
          <w:sz w:val="28"/>
          <w:szCs w:val="28"/>
          <w:highlight w:val="none"/>
        </w:rPr>
        <w:t>结算方式和发票</w:t>
      </w:r>
    </w:p>
    <w:p w14:paraId="16BF4AF8">
      <w:pPr>
        <w:ind w:firstLine="560" w:firstLineChars="200"/>
        <w:rPr>
          <w:rFonts w:hint="eastAsia" w:ascii="仿宋_GB2312" w:hAnsi="仿宋_GB2312" w:eastAsia="仿宋_GB2312" w:cs="仿宋_GB2312"/>
          <w:color w:val="auto"/>
          <w:sz w:val="28"/>
          <w:szCs w:val="28"/>
          <w:highlight w:val="none"/>
          <w:lang w:bidi="ar"/>
        </w:rPr>
      </w:pPr>
      <w:r>
        <w:rPr>
          <w:rFonts w:hint="eastAsia" w:ascii="仿宋_GB2312" w:hAnsi="仿宋_GB2312" w:eastAsia="仿宋_GB2312" w:cs="仿宋_GB2312"/>
          <w:color w:val="auto"/>
          <w:sz w:val="28"/>
          <w:szCs w:val="28"/>
          <w:highlight w:val="none"/>
          <w:lang w:eastAsia="zh-CN" w:bidi="ar"/>
        </w:rPr>
        <w:t>1.</w:t>
      </w:r>
      <w:bookmarkStart w:id="22" w:name="tip_risk_bookmark_24"/>
      <w:r>
        <w:rPr>
          <w:rFonts w:hint="eastAsia" w:ascii="仿宋_GB2312" w:hAnsi="仿宋_GB2312" w:eastAsia="仿宋_GB2312" w:cs="仿宋_GB2312"/>
          <w:color w:val="auto"/>
          <w:sz w:val="28"/>
          <w:szCs w:val="28"/>
          <w:highlight w:val="none"/>
          <w:lang w:bidi="ar"/>
        </w:rPr>
        <w:t>先款后货，按整车结算</w:t>
      </w:r>
      <w:r>
        <w:rPr>
          <w:rFonts w:hint="eastAsia" w:ascii="仿宋_GB2312" w:hAnsi="仿宋_GB2312" w:eastAsia="仿宋_GB2312" w:cs="仿宋_GB2312"/>
          <w:color w:val="auto"/>
          <w:sz w:val="28"/>
          <w:szCs w:val="28"/>
          <w:highlight w:val="none"/>
          <w:lang w:eastAsia="zh-CN" w:bidi="ar"/>
        </w:rPr>
        <w:t>，</w:t>
      </w:r>
      <w:r>
        <w:rPr>
          <w:rFonts w:hint="eastAsia" w:ascii="仿宋_GB2312" w:hAnsi="仿宋_GB2312" w:eastAsia="仿宋_GB2312" w:cs="仿宋_GB2312"/>
          <w:color w:val="auto"/>
          <w:sz w:val="28"/>
          <w:szCs w:val="28"/>
          <w:highlight w:val="none"/>
          <w:lang w:bidi="ar"/>
        </w:rPr>
        <w:t>支付按下列第</w:t>
      </w:r>
      <w:r>
        <w:rPr>
          <w:rFonts w:hint="eastAsia" w:ascii="仿宋_GB2312" w:hAnsi="仿宋_GB2312" w:eastAsia="仿宋_GB2312" w:cs="仿宋_GB2312"/>
          <w:color w:val="auto"/>
          <w:sz w:val="28"/>
          <w:szCs w:val="28"/>
          <w:highlight w:val="none"/>
          <w:u w:val="single"/>
          <w:lang w:bidi="ar"/>
        </w:rPr>
        <w:t xml:space="preserve"> </w:t>
      </w:r>
      <w:r>
        <w:rPr>
          <w:rFonts w:hint="eastAsia" w:ascii="仿宋_GB2312" w:hAnsi="仿宋_GB2312" w:eastAsia="仿宋_GB2312" w:cs="仿宋_GB2312"/>
          <w:color w:val="auto"/>
          <w:sz w:val="28"/>
          <w:szCs w:val="28"/>
          <w:highlight w:val="none"/>
          <w:u w:val="single"/>
          <w:lang w:val="en-US" w:eastAsia="zh-CN" w:bidi="ar"/>
        </w:rPr>
        <w:t xml:space="preserve">   </w:t>
      </w:r>
      <w:r>
        <w:rPr>
          <w:rFonts w:hint="eastAsia" w:ascii="仿宋_GB2312" w:hAnsi="仿宋_GB2312" w:eastAsia="仿宋_GB2312" w:cs="仿宋_GB2312"/>
          <w:color w:val="auto"/>
          <w:sz w:val="28"/>
          <w:szCs w:val="28"/>
          <w:highlight w:val="none"/>
          <w:u w:val="single"/>
          <w:lang w:bidi="ar"/>
        </w:rPr>
        <w:t xml:space="preserve">  </w:t>
      </w:r>
      <w:r>
        <w:rPr>
          <w:rFonts w:hint="eastAsia" w:ascii="仿宋_GB2312" w:hAnsi="仿宋_GB2312" w:eastAsia="仿宋_GB2312" w:cs="仿宋_GB2312"/>
          <w:color w:val="auto"/>
          <w:sz w:val="28"/>
          <w:szCs w:val="28"/>
          <w:highlight w:val="none"/>
          <w:lang w:bidi="ar"/>
        </w:rPr>
        <w:t>种方式：</w:t>
      </w:r>
    </w:p>
    <w:p w14:paraId="62C4D664">
      <w:pPr>
        <w:ind w:firstLine="560" w:firstLineChars="200"/>
        <w:rPr>
          <w:rFonts w:hint="eastAsia" w:ascii="仿宋_GB2312" w:hAnsi="仿宋_GB2312" w:eastAsia="仿宋_GB2312" w:cs="仿宋_GB2312"/>
          <w:color w:val="auto"/>
          <w:sz w:val="28"/>
          <w:szCs w:val="28"/>
          <w:highlight w:val="none"/>
          <w:lang w:bidi="ar"/>
        </w:rPr>
      </w:pPr>
      <w:r>
        <w:rPr>
          <w:rFonts w:hint="eastAsia" w:ascii="仿宋_GB2312" w:hAnsi="仿宋_GB2312" w:eastAsia="仿宋_GB2312" w:cs="仿宋_GB2312"/>
          <w:color w:val="auto"/>
          <w:sz w:val="28"/>
          <w:szCs w:val="28"/>
          <w:highlight w:val="none"/>
          <w:lang w:bidi="ar"/>
        </w:rPr>
        <w:t>（1）现金；（2）支票；（3）汇票；（4）托收；（5）电汇；</w:t>
      </w:r>
    </w:p>
    <w:p w14:paraId="68A75B07">
      <w:pPr>
        <w:ind w:firstLine="560" w:firstLineChars="200"/>
        <w:rPr>
          <w:rFonts w:hint="eastAsia" w:ascii="仿宋_GB2312" w:hAnsi="仿宋_GB2312" w:eastAsia="仿宋_GB2312" w:cs="仿宋_GB2312"/>
          <w:color w:val="auto"/>
          <w:sz w:val="28"/>
          <w:szCs w:val="28"/>
          <w:highlight w:val="none"/>
          <w:lang w:bidi="ar"/>
        </w:rPr>
      </w:pPr>
      <w:r>
        <w:rPr>
          <w:rFonts w:hint="eastAsia" w:ascii="仿宋_GB2312" w:hAnsi="仿宋_GB2312" w:eastAsia="仿宋_GB2312" w:cs="仿宋_GB2312"/>
          <w:color w:val="auto"/>
          <w:sz w:val="28"/>
          <w:szCs w:val="28"/>
          <w:highlight w:val="none"/>
          <w:lang w:eastAsia="zh-CN" w:bidi="ar"/>
        </w:rPr>
        <w:t>2.</w:t>
      </w:r>
      <w:r>
        <w:rPr>
          <w:rFonts w:hint="eastAsia" w:ascii="仿宋_GB2312" w:hAnsi="仿宋_GB2312" w:eastAsia="仿宋_GB2312" w:cs="仿宋_GB2312"/>
          <w:color w:val="auto"/>
          <w:sz w:val="28"/>
          <w:szCs w:val="28"/>
          <w:highlight w:val="none"/>
          <w:lang w:bidi="ar"/>
        </w:rPr>
        <w:t>乙方票据需求为</w:t>
      </w:r>
      <w:r>
        <w:rPr>
          <w:rFonts w:hint="eastAsia" w:ascii="仿宋_GB2312" w:hAnsi="仿宋_GB2312" w:eastAsia="仿宋_GB2312" w:cs="仿宋_GB2312"/>
          <w:color w:val="auto"/>
          <w:sz w:val="28"/>
          <w:szCs w:val="28"/>
          <w:highlight w:val="none"/>
          <w:u w:val="single"/>
          <w:lang w:bidi="ar"/>
        </w:rPr>
        <w:t xml:space="preserve">          </w:t>
      </w:r>
      <w:r>
        <w:rPr>
          <w:rFonts w:hint="eastAsia" w:ascii="仿宋_GB2312" w:hAnsi="仿宋_GB2312" w:eastAsia="仿宋_GB2312" w:cs="仿宋_GB2312"/>
          <w:color w:val="auto"/>
          <w:sz w:val="28"/>
          <w:szCs w:val="28"/>
          <w:highlight w:val="none"/>
          <w:lang w:bidi="ar"/>
        </w:rPr>
        <w:t>发票；</w:t>
      </w:r>
      <w:bookmarkEnd w:id="22"/>
    </w:p>
    <w:p w14:paraId="5505F356">
      <w:pPr>
        <w:ind w:firstLine="560" w:firstLineChars="200"/>
        <w:rPr>
          <w:rFonts w:hint="eastAsia" w:ascii="仿宋_GB2312" w:hAnsi="仿宋_GB2312" w:eastAsia="仿宋_GB2312" w:cs="仿宋_GB2312"/>
          <w:color w:val="auto"/>
          <w:sz w:val="28"/>
          <w:szCs w:val="28"/>
          <w:highlight w:val="none"/>
          <w:lang w:bidi="ar"/>
        </w:rPr>
      </w:pPr>
      <w:r>
        <w:rPr>
          <w:rFonts w:hint="eastAsia" w:ascii="仿宋_GB2312" w:hAnsi="仿宋_GB2312" w:eastAsia="仿宋_GB2312" w:cs="仿宋_GB2312"/>
          <w:color w:val="auto"/>
          <w:sz w:val="28"/>
          <w:szCs w:val="28"/>
          <w:highlight w:val="none"/>
          <w:lang w:eastAsia="zh-CN" w:bidi="ar"/>
        </w:rPr>
        <w:t>3.</w:t>
      </w:r>
      <w:r>
        <w:rPr>
          <w:rFonts w:hint="eastAsia" w:ascii="仿宋_GB2312" w:hAnsi="仿宋_GB2312" w:eastAsia="仿宋_GB2312" w:cs="仿宋_GB2312"/>
          <w:color w:val="auto"/>
          <w:sz w:val="28"/>
          <w:szCs w:val="28"/>
          <w:highlight w:val="none"/>
          <w:lang w:bidi="ar"/>
        </w:rPr>
        <w:t>乙方有开具增值税专用发票申请的，需提供增值税一般纳税人资质证明材料后由甲方开具，乙方需确保销售合同乙方与发票申请名称一致，并以乙方名称汇款。</w:t>
      </w:r>
    </w:p>
    <w:p w14:paraId="24FF40CE">
      <w:pPr>
        <w:ind w:firstLine="560" w:firstLineChars="200"/>
        <w:rPr>
          <w:rFonts w:hint="eastAsia" w:ascii="仿宋_GB2312" w:hAnsi="仿宋_GB2312" w:eastAsia="仿宋_GB2312" w:cs="仿宋_GB2312"/>
          <w:color w:val="auto"/>
          <w:sz w:val="28"/>
          <w:szCs w:val="28"/>
          <w:highlight w:val="none"/>
          <w:lang w:bidi="ar"/>
        </w:rPr>
      </w:pPr>
      <w:r>
        <w:rPr>
          <w:rFonts w:hint="eastAsia" w:ascii="仿宋_GB2312" w:hAnsi="仿宋_GB2312" w:eastAsia="仿宋_GB2312" w:cs="仿宋_GB2312"/>
          <w:color w:val="auto"/>
          <w:sz w:val="28"/>
          <w:szCs w:val="28"/>
          <w:highlight w:val="none"/>
          <w:lang w:eastAsia="zh-CN" w:bidi="ar"/>
        </w:rPr>
        <w:t>4.</w:t>
      </w:r>
      <w:r>
        <w:rPr>
          <w:rFonts w:hint="eastAsia" w:ascii="仿宋_GB2312" w:hAnsi="仿宋_GB2312" w:eastAsia="仿宋_GB2312" w:cs="仿宋_GB2312"/>
          <w:color w:val="auto"/>
          <w:sz w:val="28"/>
          <w:szCs w:val="28"/>
          <w:highlight w:val="none"/>
          <w:lang w:bidi="ar"/>
        </w:rPr>
        <w:t>如乙方以汇款方式交款，不能以合同中约定的乙方名称汇款又未及时出具汇款证明的，甲方视同未收到货款，不予发货。</w:t>
      </w:r>
    </w:p>
    <w:p w14:paraId="4EE7C3B9">
      <w:pPr>
        <w:pStyle w:val="16"/>
        <w:spacing w:line="360" w:lineRule="auto"/>
        <w:ind w:firstLine="562"/>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第六条 违约责任</w:t>
      </w:r>
    </w:p>
    <w:p w14:paraId="3384EB9B">
      <w:pPr>
        <w:pStyle w:val="16"/>
        <w:tabs>
          <w:tab w:val="center" w:pos="5099"/>
        </w:tabs>
        <w:spacing w:line="360" w:lineRule="auto"/>
        <w:ind w:firstLine="560"/>
        <w:rPr>
          <w:rFonts w:hint="eastAsia" w:ascii="仿宋_GB2312" w:hAnsi="仿宋_GB2312" w:eastAsia="仿宋_GB2312" w:cs="仿宋_GB2312"/>
          <w:color w:val="auto"/>
          <w:sz w:val="28"/>
          <w:szCs w:val="28"/>
          <w:highlight w:val="none"/>
          <w:u w:val="single"/>
          <w:lang w:val="en-US" w:eastAsia="zh-CN"/>
        </w:rPr>
      </w:pPr>
      <w:r>
        <w:rPr>
          <w:rFonts w:hint="eastAsia" w:ascii="仿宋_GB2312" w:hAnsi="仿宋_GB2312" w:eastAsia="仿宋_GB2312" w:cs="仿宋_GB2312"/>
          <w:color w:val="auto"/>
          <w:sz w:val="28"/>
          <w:szCs w:val="28"/>
          <w:highlight w:val="none"/>
          <w:lang w:eastAsia="zh-CN"/>
        </w:rPr>
        <w:t>1.</w:t>
      </w:r>
      <w:r>
        <w:rPr>
          <w:rFonts w:hint="eastAsia" w:ascii="仿宋_GB2312" w:hAnsi="仿宋_GB2312" w:eastAsia="仿宋_GB2312" w:cs="仿宋_GB2312"/>
          <w:color w:val="auto"/>
          <w:sz w:val="28"/>
          <w:szCs w:val="28"/>
          <w:highlight w:val="none"/>
          <w:lang w:val="en-US" w:eastAsia="zh-CN"/>
        </w:rPr>
        <w:t>2026</w:t>
      </w:r>
      <w:bookmarkStart w:id="23" w:name="tip_risk_bookmark_25"/>
      <w:r>
        <w:rPr>
          <w:rFonts w:hint="eastAsia" w:ascii="仿宋_GB2312" w:hAnsi="仿宋_GB2312" w:eastAsia="仿宋_GB2312" w:cs="仿宋_GB2312"/>
          <w:color w:val="auto"/>
          <w:sz w:val="28"/>
          <w:szCs w:val="28"/>
          <w:highlight w:val="none"/>
          <w:lang w:val="en-US" w:eastAsia="zh-CN"/>
        </w:rPr>
        <w:t>年7</w:t>
      </w:r>
      <w:r>
        <w:rPr>
          <w:rFonts w:hint="eastAsia" w:ascii="仿宋_GB2312" w:hAnsi="仿宋_GB2312" w:eastAsia="仿宋_GB2312" w:cs="仿宋_GB2312"/>
          <w:color w:val="auto"/>
          <w:sz w:val="28"/>
          <w:szCs w:val="28"/>
          <w:highlight w:val="none"/>
        </w:rPr>
        <w:t>月</w:t>
      </w:r>
      <w:r>
        <w:rPr>
          <w:rFonts w:hint="eastAsia" w:ascii="仿宋_GB2312" w:hAnsi="仿宋_GB2312" w:eastAsia="仿宋_GB2312" w:cs="仿宋_GB2312"/>
          <w:color w:val="auto"/>
          <w:sz w:val="28"/>
          <w:szCs w:val="28"/>
          <w:highlight w:val="none"/>
          <w:lang w:val="en-US" w:eastAsia="zh-CN"/>
        </w:rPr>
        <w:t>20</w:t>
      </w:r>
      <w:r>
        <w:rPr>
          <w:rFonts w:hint="eastAsia" w:ascii="仿宋_GB2312" w:hAnsi="仿宋_GB2312" w:eastAsia="仿宋_GB2312" w:cs="仿宋_GB2312"/>
          <w:color w:val="auto"/>
          <w:sz w:val="28"/>
          <w:szCs w:val="28"/>
          <w:highlight w:val="none"/>
        </w:rPr>
        <w:t>日之前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若乙方未</w:t>
      </w:r>
      <w:r>
        <w:rPr>
          <w:rFonts w:hint="eastAsia" w:ascii="仿宋_GB2312" w:hAnsi="仿宋_GB2312" w:eastAsia="仿宋_GB2312" w:cs="仿宋_GB2312"/>
          <w:color w:val="auto"/>
          <w:sz w:val="28"/>
          <w:szCs w:val="28"/>
          <w:highlight w:val="none"/>
        </w:rPr>
        <w:t>按双方约定将甲方位于</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u w:val="single"/>
          <w:lang w:val="en-US" w:eastAsia="zh-CN"/>
        </w:rPr>
        <w:t xml:space="preserve">      </w:t>
      </w:r>
    </w:p>
    <w:p w14:paraId="2D8385EC">
      <w:pPr>
        <w:pStyle w:val="16"/>
        <w:tabs>
          <w:tab w:val="center" w:pos="5099"/>
        </w:tabs>
        <w:spacing w:line="360" w:lineRule="auto"/>
        <w:ind w:left="0" w:leftChars="0" w:firstLine="0" w:firstLineChars="0"/>
        <w:jc w:val="both"/>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仓库的</w:t>
      </w:r>
      <w:bookmarkStart w:id="36" w:name="_GoBack"/>
      <w:bookmarkEnd w:id="36"/>
      <w:r>
        <w:rPr>
          <w:rFonts w:hint="eastAsia" w:ascii="仿宋_GB2312" w:hAnsi="仿宋_GB2312" w:eastAsia="仿宋_GB2312" w:cs="仿宋_GB2312"/>
          <w:color w:val="auto"/>
          <w:sz w:val="28"/>
          <w:szCs w:val="28"/>
          <w:highlight w:val="none"/>
        </w:rPr>
        <w:t>速冻玉米产品按本合同约定数量按期、足额提货</w:t>
      </w:r>
      <w:r>
        <w:rPr>
          <w:rFonts w:hint="eastAsia" w:ascii="仿宋_GB2312" w:hAnsi="仿宋_GB2312" w:eastAsia="仿宋_GB2312" w:cs="仿宋_GB2312"/>
          <w:color w:val="auto"/>
          <w:sz w:val="28"/>
          <w:szCs w:val="28"/>
          <w:highlight w:val="none"/>
          <w:lang w:val="en-US" w:eastAsia="zh-CN"/>
        </w:rPr>
        <w:t>完毕，甲方有权书面通知乙方在</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en-US" w:eastAsia="zh-CN"/>
        </w:rPr>
        <w:t>年</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en-US" w:eastAsia="zh-CN"/>
        </w:rPr>
        <w:t>月</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en-US" w:eastAsia="zh-CN"/>
        </w:rPr>
        <w:t>日内，提清剩余全部库存产品，超期提货期间，乙方按照以下标准向甲方支付逾期存储费用：</w:t>
      </w:r>
    </w:p>
    <w:p w14:paraId="2E086801">
      <w:pPr>
        <w:pStyle w:val="16"/>
        <w:tabs>
          <w:tab w:val="center" w:pos="5099"/>
        </w:tabs>
        <w:spacing w:line="360" w:lineRule="auto"/>
        <w:ind w:firstLine="560"/>
        <w:rPr>
          <w:rFonts w:hint="default" w:ascii="仿宋_GB2312" w:hAnsi="仿宋_GB2312" w:eastAsia="仿宋_GB2312" w:cs="仿宋_GB2312"/>
          <w:color w:val="auto"/>
          <w:sz w:val="28"/>
          <w:szCs w:val="28"/>
          <w:highlight w:val="none"/>
          <w:lang w:val="en-US" w:eastAsia="zh-CN"/>
        </w:rPr>
      </w:pPr>
      <w:bookmarkStart w:id="24" w:name="tip_risk_bookmark_26"/>
      <w:r>
        <w:rPr>
          <w:rFonts w:hint="eastAsia" w:ascii="仿宋_GB2312" w:hAnsi="仿宋_GB2312" w:eastAsia="仿宋_GB2312" w:cs="仿宋_GB2312"/>
          <w:color w:val="auto"/>
          <w:sz w:val="28"/>
          <w:szCs w:val="28"/>
          <w:highlight w:val="none"/>
          <w:lang w:val="en-US" w:eastAsia="zh-CN"/>
        </w:rPr>
        <w:t>计费标准：人民币：</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en-US" w:eastAsia="zh-CN"/>
        </w:rPr>
        <w:t>元/天。</w:t>
      </w:r>
      <w:bookmarkEnd w:id="24"/>
    </w:p>
    <w:p w14:paraId="1A915AC2">
      <w:pPr>
        <w:pStyle w:val="16"/>
        <w:tabs>
          <w:tab w:val="center" w:pos="5099"/>
        </w:tabs>
        <w:spacing w:line="360" w:lineRule="auto"/>
        <w:ind w:firstLine="560"/>
        <w:rPr>
          <w:rFonts w:hint="eastAsia" w:ascii="仿宋_GB2312" w:hAnsi="仿宋_GB2312" w:eastAsia="仿宋_GB2312" w:cs="仿宋_GB2312"/>
          <w:color w:val="auto"/>
          <w:sz w:val="28"/>
          <w:szCs w:val="28"/>
          <w:highlight w:val="none"/>
          <w:lang w:val="en-US" w:eastAsia="zh-CN"/>
        </w:rPr>
      </w:pPr>
      <w:bookmarkStart w:id="25" w:name="auto_fouce_27"/>
      <w:r>
        <w:rPr>
          <w:rFonts w:hint="eastAsia" w:ascii="仿宋_GB2312" w:hAnsi="仿宋_GB2312" w:eastAsia="仿宋_GB2312" w:cs="仿宋_GB2312"/>
          <w:color w:val="auto"/>
          <w:sz w:val="28"/>
          <w:szCs w:val="28"/>
          <w:highlight w:val="none"/>
          <w:lang w:val="en-US" w:eastAsia="zh-CN"/>
        </w:rPr>
        <w:t>计费基数：逾期未提货物的实际吨数/个数</w:t>
      </w:r>
      <w:bookmarkEnd w:id="25"/>
    </w:p>
    <w:p w14:paraId="2B81B939">
      <w:pPr>
        <w:pStyle w:val="16"/>
        <w:tabs>
          <w:tab w:val="center" w:pos="5099"/>
        </w:tabs>
        <w:spacing w:line="360" w:lineRule="auto"/>
        <w:ind w:firstLine="56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支付要求：逾期存储费按日累计计算，乙方应在提清剩余货物当日一次性结清。</w:t>
      </w:r>
    </w:p>
    <w:p w14:paraId="2FF88686">
      <w:pPr>
        <w:pStyle w:val="16"/>
        <w:tabs>
          <w:tab w:val="center" w:pos="5099"/>
        </w:tabs>
        <w:spacing w:line="360" w:lineRule="auto"/>
        <w:ind w:firstLine="560"/>
        <w:rPr>
          <w:rFonts w:hint="eastAsia" w:ascii="仿宋_GB2312" w:hAnsi="仿宋_GB2312" w:eastAsia="仿宋_GB2312" w:cs="仿宋_GB2312"/>
          <w:color w:val="auto"/>
          <w:sz w:val="28"/>
          <w:szCs w:val="28"/>
          <w:highlight w:val="none"/>
        </w:rPr>
      </w:pPr>
      <w:bookmarkStart w:id="26" w:name="auto_fouce_29"/>
      <w:bookmarkStart w:id="27" w:name="tip_risk_bookmark_28"/>
      <w:r>
        <w:rPr>
          <w:rFonts w:hint="eastAsia" w:ascii="仿宋_GB2312" w:hAnsi="仿宋_GB2312" w:eastAsia="仿宋_GB2312" w:cs="仿宋_GB2312"/>
          <w:color w:val="auto"/>
          <w:sz w:val="28"/>
          <w:szCs w:val="28"/>
          <w:highlight w:val="none"/>
          <w:lang w:val="en-US" w:eastAsia="zh-CN"/>
        </w:rPr>
        <w:t>乙方逾期未履行提货义务，视为乙方违约，</w:t>
      </w:r>
      <w:r>
        <w:rPr>
          <w:rFonts w:hint="eastAsia" w:ascii="仿宋_GB2312" w:hAnsi="仿宋_GB2312" w:eastAsia="仿宋_GB2312" w:cs="仿宋_GB2312"/>
          <w:color w:val="auto"/>
          <w:sz w:val="28"/>
          <w:szCs w:val="28"/>
          <w:highlight w:val="none"/>
        </w:rPr>
        <w:t>甲方有权全额没收乙方已缴纳的履约保证金人民币</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元（大写：</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万元整），不予退还。甲方有权自行处置剩余产品</w:t>
      </w:r>
      <w:r>
        <w:rPr>
          <w:rFonts w:hint="eastAsia" w:ascii="仿宋_GB2312" w:hAnsi="仿宋_GB2312" w:eastAsia="仿宋_GB2312" w:cs="仿宋_GB2312"/>
          <w:color w:val="auto"/>
          <w:sz w:val="28"/>
          <w:szCs w:val="28"/>
          <w:highlight w:val="none"/>
          <w:lang w:eastAsia="zh-CN"/>
        </w:rPr>
        <w:t>，处置所得价款在扣除乙方应付的逾期存储费、违约金及其他费用后，若有剩余，甲方无息退还乙方；若甲方处置剩余产品所获收入低于该部分产品对应的合同约定价款，差额部分由乙方补足，若不足，甲方有权继续向乙方追偿</w:t>
      </w:r>
      <w:r>
        <w:rPr>
          <w:rFonts w:hint="eastAsia" w:ascii="仿宋_GB2312" w:hAnsi="仿宋_GB2312" w:eastAsia="仿宋_GB2312" w:cs="仿宋_GB2312"/>
          <w:color w:val="auto"/>
          <w:sz w:val="28"/>
          <w:szCs w:val="28"/>
          <w:highlight w:val="none"/>
        </w:rPr>
        <w:t>。</w:t>
      </w:r>
      <w:bookmarkEnd w:id="23"/>
      <w:bookmarkEnd w:id="26"/>
      <w:bookmarkEnd w:id="27"/>
    </w:p>
    <w:p w14:paraId="7A0C23B4">
      <w:pPr>
        <w:pStyle w:val="16"/>
        <w:spacing w:line="360" w:lineRule="auto"/>
        <w:ind w:firstLine="560"/>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kern w:val="0"/>
          <w:sz w:val="28"/>
          <w:szCs w:val="28"/>
          <w:highlight w:val="none"/>
          <w:lang w:bidi="ar"/>
        </w:rPr>
        <w:t>若一方违约，除了应向对方承担违约责任</w:t>
      </w:r>
      <w:r>
        <w:rPr>
          <w:rFonts w:hint="eastAsia" w:ascii="仿宋_GB2312" w:hAnsi="仿宋_GB2312" w:eastAsia="仿宋_GB2312" w:cs="仿宋_GB2312"/>
          <w:color w:val="auto"/>
          <w:kern w:val="0"/>
          <w:sz w:val="28"/>
          <w:szCs w:val="28"/>
          <w:highlight w:val="none"/>
          <w:lang w:eastAsia="zh-CN" w:bidi="ar"/>
        </w:rPr>
        <w:t>（</w:t>
      </w:r>
      <w:r>
        <w:rPr>
          <w:rFonts w:hint="eastAsia" w:ascii="仿宋_GB2312" w:hAnsi="仿宋_GB2312" w:eastAsia="仿宋_GB2312" w:cs="仿宋_GB2312"/>
          <w:color w:val="auto"/>
          <w:kern w:val="0"/>
          <w:sz w:val="28"/>
          <w:szCs w:val="28"/>
          <w:highlight w:val="none"/>
          <w:lang w:val="en-US" w:eastAsia="zh-CN" w:bidi="ar"/>
        </w:rPr>
        <w:t>包括不限于直接损失、间接损失</w:t>
      </w:r>
      <w:r>
        <w:rPr>
          <w:rFonts w:hint="eastAsia" w:ascii="仿宋_GB2312" w:hAnsi="仿宋_GB2312" w:eastAsia="仿宋_GB2312" w:cs="仿宋_GB2312"/>
          <w:color w:val="auto"/>
          <w:kern w:val="0"/>
          <w:sz w:val="28"/>
          <w:szCs w:val="28"/>
          <w:highlight w:val="none"/>
          <w:lang w:eastAsia="zh-CN" w:bidi="ar"/>
        </w:rPr>
        <w:t>）</w:t>
      </w:r>
      <w:r>
        <w:rPr>
          <w:rFonts w:hint="eastAsia" w:ascii="仿宋_GB2312" w:hAnsi="仿宋_GB2312" w:eastAsia="仿宋_GB2312" w:cs="仿宋_GB2312"/>
          <w:color w:val="auto"/>
          <w:kern w:val="0"/>
          <w:sz w:val="28"/>
          <w:szCs w:val="28"/>
          <w:highlight w:val="none"/>
          <w:lang w:bidi="ar"/>
        </w:rPr>
        <w:t>外，还需要承担对方为实现债权所产生的费用，包括但不限于律师代理费、差旅费、评估费、鉴定费等。</w:t>
      </w:r>
    </w:p>
    <w:p w14:paraId="34A64731">
      <w:pPr>
        <w:pStyle w:val="16"/>
        <w:spacing w:line="360" w:lineRule="auto"/>
        <w:ind w:firstLine="56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kern w:val="0"/>
          <w:sz w:val="28"/>
          <w:szCs w:val="28"/>
          <w:highlight w:val="none"/>
          <w:lang w:bidi="ar"/>
        </w:rPr>
        <w:t>3.</w:t>
      </w:r>
      <w:bookmarkStart w:id="28" w:name="auto_fouce_30"/>
      <w:r>
        <w:rPr>
          <w:rFonts w:hint="eastAsia" w:ascii="仿宋_GB2312" w:hAnsi="仿宋_GB2312" w:eastAsia="仿宋_GB2312" w:cs="仿宋_GB2312"/>
          <w:color w:val="auto"/>
          <w:sz w:val="28"/>
          <w:szCs w:val="28"/>
          <w:highlight w:val="none"/>
        </w:rPr>
        <w:t>对于违约金支付方式，不仅局限于现金、电汇等形式。若乙方</w:t>
      </w:r>
      <w:r>
        <w:rPr>
          <w:rFonts w:hint="eastAsia" w:ascii="仿宋_GB2312" w:hAnsi="仿宋_GB2312" w:eastAsia="仿宋_GB2312" w:cs="仿宋_GB2312"/>
          <w:color w:val="auto"/>
          <w:sz w:val="28"/>
          <w:szCs w:val="28"/>
          <w:highlight w:val="none"/>
          <w:lang w:eastAsia="zh-CN"/>
        </w:rPr>
        <w:t>未按约定</w:t>
      </w:r>
      <w:r>
        <w:rPr>
          <w:rFonts w:hint="eastAsia" w:ascii="仿宋_GB2312" w:hAnsi="仿宋_GB2312" w:eastAsia="仿宋_GB2312" w:cs="仿宋_GB2312"/>
          <w:color w:val="auto"/>
          <w:sz w:val="28"/>
          <w:szCs w:val="28"/>
          <w:highlight w:val="none"/>
        </w:rPr>
        <w:t>支付</w:t>
      </w:r>
      <w:r>
        <w:rPr>
          <w:rFonts w:hint="eastAsia" w:ascii="仿宋_GB2312" w:hAnsi="仿宋_GB2312" w:eastAsia="仿宋_GB2312" w:cs="仿宋_GB2312"/>
          <w:color w:val="auto"/>
          <w:sz w:val="28"/>
          <w:szCs w:val="28"/>
          <w:highlight w:val="none"/>
          <w:lang w:eastAsia="zh-CN"/>
        </w:rPr>
        <w:t>任何违约金、赔偿金或费用</w:t>
      </w:r>
      <w:r>
        <w:rPr>
          <w:rFonts w:hint="eastAsia" w:ascii="仿宋_GB2312" w:hAnsi="仿宋_GB2312" w:eastAsia="仿宋_GB2312" w:cs="仿宋_GB2312"/>
          <w:color w:val="auto"/>
          <w:sz w:val="28"/>
          <w:szCs w:val="28"/>
          <w:highlight w:val="none"/>
        </w:rPr>
        <w:t>，甲方有权</w:t>
      </w:r>
      <w:r>
        <w:rPr>
          <w:rFonts w:hint="eastAsia" w:ascii="仿宋_GB2312" w:hAnsi="仿宋_GB2312" w:eastAsia="仿宋_GB2312" w:cs="仿宋_GB2312"/>
          <w:color w:val="auto"/>
          <w:sz w:val="28"/>
          <w:szCs w:val="28"/>
          <w:highlight w:val="none"/>
          <w:lang w:eastAsia="zh-CN"/>
        </w:rPr>
        <w:t>从乙方已支付或应付甲方的任何款项（包括但不限于履约保证金、货款）</w:t>
      </w:r>
      <w:r>
        <w:rPr>
          <w:rFonts w:hint="eastAsia" w:ascii="仿宋_GB2312" w:hAnsi="仿宋_GB2312" w:eastAsia="仿宋_GB2312" w:cs="仿宋_GB2312"/>
          <w:color w:val="auto"/>
          <w:sz w:val="28"/>
          <w:szCs w:val="28"/>
          <w:highlight w:val="none"/>
        </w:rPr>
        <w:t>中</w:t>
      </w:r>
      <w:r>
        <w:rPr>
          <w:rFonts w:hint="eastAsia" w:ascii="仿宋_GB2312" w:hAnsi="仿宋_GB2312" w:eastAsia="仿宋_GB2312" w:cs="仿宋_GB2312"/>
          <w:color w:val="auto"/>
          <w:sz w:val="28"/>
          <w:szCs w:val="28"/>
          <w:highlight w:val="none"/>
          <w:lang w:eastAsia="zh-CN"/>
        </w:rPr>
        <w:t>直接</w:t>
      </w:r>
      <w:r>
        <w:rPr>
          <w:rFonts w:hint="eastAsia" w:ascii="仿宋_GB2312" w:hAnsi="仿宋_GB2312" w:eastAsia="仿宋_GB2312" w:cs="仿宋_GB2312"/>
          <w:color w:val="auto"/>
          <w:sz w:val="28"/>
          <w:szCs w:val="28"/>
          <w:highlight w:val="none"/>
        </w:rPr>
        <w:t>扣除</w:t>
      </w:r>
      <w:r>
        <w:rPr>
          <w:rFonts w:hint="eastAsia" w:ascii="仿宋_GB2312" w:hAnsi="仿宋_GB2312" w:eastAsia="仿宋_GB2312" w:cs="仿宋_GB2312"/>
          <w:color w:val="auto"/>
          <w:sz w:val="28"/>
          <w:szCs w:val="28"/>
          <w:highlight w:val="none"/>
          <w:lang w:eastAsia="zh-CN"/>
        </w:rPr>
        <w:t>，且无需另行征得乙方同意</w:t>
      </w:r>
      <w:r>
        <w:rPr>
          <w:rFonts w:hint="eastAsia" w:ascii="仿宋_GB2312" w:hAnsi="仿宋_GB2312" w:eastAsia="仿宋_GB2312" w:cs="仿宋_GB2312"/>
          <w:color w:val="auto"/>
          <w:sz w:val="28"/>
          <w:szCs w:val="28"/>
          <w:highlight w:val="none"/>
        </w:rPr>
        <w:t>。</w:t>
      </w:r>
      <w:bookmarkEnd w:id="28"/>
    </w:p>
    <w:p w14:paraId="6EFB5DB8">
      <w:pPr>
        <w:pStyle w:val="16"/>
        <w:spacing w:line="360" w:lineRule="auto"/>
        <w:ind w:firstLine="56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4.若乙方违反本合同第一条第4项约定，视为乙方违约，甲方有权：立即单方解除合同，已收货款不予退还；要求乙方支付合同总金额20%的违约金，若违约金不足以弥补由此给甲方造成的全部损失，乙方按照全部损失（含商誉损失、维权费用、律师费、公证费等直接损失、间接损失及维权费用等）承担违约责任。每发现一次违规使用，乙方额外支付甲方违约金5万元/次；情节严重的，甲方有权追究乙方商标侵权法律责任。</w:t>
      </w:r>
      <w:bookmarkStart w:id="29" w:name="auto_fouce_32"/>
    </w:p>
    <w:p w14:paraId="1ACB643F">
      <w:pPr>
        <w:pStyle w:val="16"/>
        <w:spacing w:line="360" w:lineRule="auto"/>
        <w:ind w:firstLine="56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5.若乙方违反本合同第四条第5款约定将受损产品流入市场，甲方有权要求乙方立即召回所有违规流入市场的产品，召回产生的全部费用由乙方承担。</w:t>
      </w:r>
      <w:bookmarkEnd w:id="29"/>
    </w:p>
    <w:p w14:paraId="011AE09E">
      <w:pPr>
        <w:pStyle w:val="16"/>
        <w:spacing w:line="360" w:lineRule="auto"/>
        <w:ind w:firstLine="562"/>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第七条 不可抗力</w:t>
      </w:r>
    </w:p>
    <w:p w14:paraId="7E39140C">
      <w:pPr>
        <w:pStyle w:val="16"/>
        <w:spacing w:line="360" w:lineRule="auto"/>
        <w:ind w:firstLine="56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1.</w:t>
      </w:r>
      <w:r>
        <w:rPr>
          <w:rFonts w:hint="eastAsia" w:ascii="仿宋_GB2312" w:hAnsi="仿宋_GB2312" w:eastAsia="仿宋_GB2312" w:cs="仿宋_GB2312"/>
          <w:color w:val="auto"/>
          <w:sz w:val="28"/>
          <w:szCs w:val="28"/>
          <w:highlight w:val="none"/>
        </w:rPr>
        <w:t>如果发生任何一方不可控制的情况，包括但不限于天灾、政府行动、战争等无法预料和控制的突发事件，致使本协议延迟履行或不能完全履行时，任何一方应在事件发生后立即通知对方并在十日内向对方提供不可抗力发生地政府主管机关出具的确实发生不可抗力且导致合同不能履行的书面证明，同时应采取措施防止损失的扩大。因未及时通知对方或未采取相应措施而导致对方损失扩大的，对扩大的损失部分违约方承担全部赔偿责任。</w:t>
      </w:r>
    </w:p>
    <w:p w14:paraId="707B1706">
      <w:pPr>
        <w:pStyle w:val="16"/>
        <w:spacing w:line="360" w:lineRule="auto"/>
        <w:ind w:firstLine="56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2.</w:t>
      </w:r>
      <w:r>
        <w:rPr>
          <w:rFonts w:hint="eastAsia" w:ascii="仿宋_GB2312" w:hAnsi="仿宋_GB2312" w:eastAsia="仿宋_GB2312" w:cs="仿宋_GB2312"/>
          <w:color w:val="auto"/>
          <w:sz w:val="28"/>
          <w:szCs w:val="28"/>
          <w:highlight w:val="none"/>
        </w:rPr>
        <w:t>在事件发生后30天内事件仍未消除的，双方可书面协商解除本合同。</w:t>
      </w:r>
    </w:p>
    <w:p w14:paraId="4F6D2AD1">
      <w:pPr>
        <w:pStyle w:val="16"/>
        <w:spacing w:line="360" w:lineRule="auto"/>
        <w:ind w:left="568" w:firstLine="0" w:firstLineChars="0"/>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第八条 合同生效及争议解决</w:t>
      </w:r>
    </w:p>
    <w:p w14:paraId="303C6A00">
      <w:pPr>
        <w:pStyle w:val="16"/>
        <w:spacing w:line="360" w:lineRule="auto"/>
        <w:ind w:firstLine="560"/>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color w:val="auto"/>
          <w:sz w:val="28"/>
          <w:szCs w:val="28"/>
          <w:highlight w:val="none"/>
          <w:lang w:eastAsia="zh-CN"/>
        </w:rPr>
        <w:t>1.</w:t>
      </w:r>
      <w:bookmarkStart w:id="30" w:name="tip_risk_bookmark_34"/>
      <w:r>
        <w:rPr>
          <w:rFonts w:hint="eastAsia" w:ascii="仿宋_GB2312" w:hAnsi="仿宋_GB2312" w:eastAsia="仿宋_GB2312" w:cs="仿宋_GB2312"/>
          <w:color w:val="auto"/>
          <w:sz w:val="28"/>
          <w:szCs w:val="28"/>
          <w:highlight w:val="none"/>
        </w:rPr>
        <w:t>本合同自双方签字盖章</w:t>
      </w:r>
      <w:r>
        <w:rPr>
          <w:rFonts w:hint="eastAsia" w:ascii="仿宋_GB2312" w:hAnsi="仿宋_GB2312" w:eastAsia="仿宋_GB2312" w:cs="仿宋_GB2312"/>
          <w:color w:val="auto"/>
          <w:sz w:val="28"/>
          <w:szCs w:val="28"/>
          <w:highlight w:val="none"/>
          <w:lang w:eastAsia="zh-CN"/>
        </w:rPr>
        <w:t>之日起，且</w:t>
      </w:r>
      <w:r>
        <w:rPr>
          <w:rFonts w:hint="eastAsia" w:ascii="仿宋_GB2312" w:hAnsi="仿宋_GB2312" w:eastAsia="仿宋_GB2312" w:cs="仿宋_GB2312"/>
          <w:color w:val="auto"/>
          <w:sz w:val="28"/>
          <w:szCs w:val="28"/>
          <w:highlight w:val="none"/>
        </w:rPr>
        <w:t>甲方收到乙方履约保证金</w:t>
      </w:r>
      <w:r>
        <w:rPr>
          <w:rFonts w:hint="eastAsia" w:ascii="仿宋_GB2312" w:hAnsi="仿宋_GB2312" w:eastAsia="仿宋_GB2312" w:cs="仿宋_GB2312"/>
          <w:color w:val="auto"/>
          <w:sz w:val="28"/>
          <w:szCs w:val="28"/>
          <w:highlight w:val="none"/>
          <w:lang w:eastAsia="zh-CN"/>
        </w:rPr>
        <w:t>时</w:t>
      </w:r>
      <w:r>
        <w:rPr>
          <w:rFonts w:hint="eastAsia" w:ascii="仿宋_GB2312" w:hAnsi="仿宋_GB2312" w:eastAsia="仿宋_GB2312" w:cs="仿宋_GB2312"/>
          <w:color w:val="auto"/>
          <w:sz w:val="28"/>
          <w:szCs w:val="28"/>
          <w:highlight w:val="none"/>
        </w:rPr>
        <w:t>生效。</w:t>
      </w:r>
    </w:p>
    <w:p w14:paraId="45939FBA">
      <w:pPr>
        <w:tabs>
          <w:tab w:val="left" w:pos="567"/>
        </w:tabs>
        <w:spacing w:line="360" w:lineRule="auto"/>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2.</w:t>
      </w:r>
      <w:bookmarkStart w:id="31" w:name="auto_fouce_35"/>
      <w:bookmarkStart w:id="32" w:name="tip_risk_bookmark_36"/>
      <w:r>
        <w:rPr>
          <w:rFonts w:hint="eastAsia" w:ascii="仿宋_GB2312" w:hAnsi="仿宋_GB2312" w:eastAsia="仿宋_GB2312" w:cs="仿宋_GB2312"/>
          <w:color w:val="auto"/>
          <w:sz w:val="28"/>
          <w:szCs w:val="28"/>
          <w:highlight w:val="none"/>
        </w:rPr>
        <w:t>本协议未尽事宜</w:t>
      </w:r>
      <w:r>
        <w:rPr>
          <w:rFonts w:hint="eastAsia" w:ascii="仿宋_GB2312" w:hAnsi="仿宋_GB2312" w:eastAsia="仿宋_GB2312" w:cs="仿宋_GB2312"/>
          <w:color w:val="auto"/>
          <w:sz w:val="28"/>
          <w:szCs w:val="28"/>
          <w:highlight w:val="none"/>
          <w:lang w:eastAsia="zh-CN"/>
        </w:rPr>
        <w:t>由</w:t>
      </w:r>
      <w:r>
        <w:rPr>
          <w:rFonts w:hint="eastAsia" w:ascii="仿宋_GB2312" w:hAnsi="仿宋_GB2312" w:eastAsia="仿宋_GB2312" w:cs="仿宋_GB2312"/>
          <w:color w:val="auto"/>
          <w:sz w:val="28"/>
          <w:szCs w:val="28"/>
          <w:highlight w:val="none"/>
        </w:rPr>
        <w:t>双方协商解决，协商</w:t>
      </w:r>
      <w:r>
        <w:rPr>
          <w:rFonts w:hint="eastAsia" w:ascii="仿宋_GB2312" w:hAnsi="仿宋_GB2312" w:eastAsia="仿宋_GB2312" w:cs="仿宋_GB2312"/>
          <w:color w:val="auto"/>
          <w:sz w:val="28"/>
          <w:szCs w:val="28"/>
          <w:highlight w:val="none"/>
          <w:lang w:eastAsia="zh-CN"/>
        </w:rPr>
        <w:t>不成</w:t>
      </w:r>
      <w:r>
        <w:rPr>
          <w:rFonts w:hint="eastAsia" w:ascii="仿宋_GB2312" w:hAnsi="仿宋_GB2312" w:eastAsia="仿宋_GB2312" w:cs="仿宋_GB2312"/>
          <w:color w:val="auto"/>
          <w:sz w:val="28"/>
          <w:szCs w:val="28"/>
          <w:highlight w:val="none"/>
        </w:rPr>
        <w:t>的</w:t>
      </w:r>
      <w:r>
        <w:rPr>
          <w:rFonts w:hint="eastAsia" w:ascii="仿宋_GB2312" w:hAnsi="仿宋_GB2312" w:eastAsia="仿宋_GB2312" w:cs="仿宋_GB2312"/>
          <w:color w:val="auto"/>
          <w:sz w:val="28"/>
          <w:szCs w:val="28"/>
          <w:highlight w:val="none"/>
          <w:lang w:eastAsia="zh-CN"/>
        </w:rPr>
        <w:t>，任何一方均有权向</w:t>
      </w:r>
      <w:r>
        <w:rPr>
          <w:rFonts w:hint="eastAsia" w:ascii="仿宋_GB2312" w:hAnsi="仿宋_GB2312" w:eastAsia="仿宋_GB2312" w:cs="仿宋_GB2312"/>
          <w:color w:val="auto"/>
          <w:sz w:val="28"/>
          <w:szCs w:val="28"/>
          <w:highlight w:val="none"/>
        </w:rPr>
        <w:t>甲方所在地有管辖权的</w:t>
      </w:r>
      <w:r>
        <w:rPr>
          <w:rFonts w:hint="eastAsia" w:ascii="仿宋_GB2312" w:hAnsi="仿宋_GB2312" w:eastAsia="仿宋_GB2312" w:cs="仿宋_GB2312"/>
          <w:color w:val="auto"/>
          <w:sz w:val="28"/>
          <w:szCs w:val="28"/>
          <w:highlight w:val="none"/>
          <w:lang w:eastAsia="zh-CN"/>
        </w:rPr>
        <w:t>人民</w:t>
      </w:r>
      <w:r>
        <w:rPr>
          <w:rFonts w:hint="eastAsia" w:ascii="仿宋_GB2312" w:hAnsi="仿宋_GB2312" w:eastAsia="仿宋_GB2312" w:cs="仿宋_GB2312"/>
          <w:color w:val="auto"/>
          <w:sz w:val="28"/>
          <w:szCs w:val="28"/>
          <w:highlight w:val="none"/>
        </w:rPr>
        <w:t>法院</w:t>
      </w:r>
      <w:r>
        <w:rPr>
          <w:rFonts w:hint="eastAsia" w:ascii="仿宋_GB2312" w:hAnsi="仿宋_GB2312" w:eastAsia="仿宋_GB2312" w:cs="仿宋_GB2312"/>
          <w:color w:val="auto"/>
          <w:sz w:val="28"/>
          <w:szCs w:val="28"/>
          <w:highlight w:val="none"/>
          <w:lang w:eastAsia="zh-CN"/>
        </w:rPr>
        <w:t>提起诉讼</w:t>
      </w:r>
      <w:r>
        <w:rPr>
          <w:rFonts w:hint="eastAsia" w:ascii="仿宋_GB2312" w:hAnsi="仿宋_GB2312" w:eastAsia="仿宋_GB2312" w:cs="仿宋_GB2312"/>
          <w:color w:val="auto"/>
          <w:sz w:val="28"/>
          <w:szCs w:val="28"/>
          <w:highlight w:val="none"/>
        </w:rPr>
        <w:t>。</w:t>
      </w:r>
      <w:bookmarkEnd w:id="30"/>
      <w:bookmarkEnd w:id="31"/>
    </w:p>
    <w:p w14:paraId="1862BF3F">
      <w:pPr>
        <w:tabs>
          <w:tab w:val="left" w:pos="567"/>
        </w:tabs>
        <w:spacing w:line="360" w:lineRule="auto"/>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3.</w:t>
      </w:r>
      <w:r>
        <w:rPr>
          <w:rFonts w:hint="eastAsia" w:ascii="仿宋_GB2312" w:hAnsi="仿宋_GB2312" w:eastAsia="仿宋_GB2312" w:cs="仿宋_GB2312"/>
          <w:color w:val="auto"/>
          <w:sz w:val="28"/>
          <w:szCs w:val="28"/>
          <w:highlight w:val="none"/>
        </w:rPr>
        <w:t>本合同文本一式伍份，甲方执肆份</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乙方执壹份</w:t>
      </w:r>
      <w:r>
        <w:rPr>
          <w:rFonts w:hint="eastAsia" w:ascii="仿宋_GB2312" w:hAnsi="仿宋_GB2312" w:eastAsia="仿宋_GB2312" w:cs="仿宋_GB2312"/>
          <w:color w:val="auto"/>
          <w:sz w:val="28"/>
          <w:szCs w:val="28"/>
          <w:highlight w:val="none"/>
          <w:lang w:eastAsia="zh-CN"/>
        </w:rPr>
        <w:t>，具有</w:t>
      </w:r>
      <w:r>
        <w:rPr>
          <w:rFonts w:hint="eastAsia" w:ascii="仿宋_GB2312" w:hAnsi="仿宋_GB2312" w:eastAsia="仿宋_GB2312" w:cs="仿宋_GB2312"/>
          <w:color w:val="auto"/>
          <w:sz w:val="28"/>
          <w:szCs w:val="28"/>
          <w:highlight w:val="none"/>
        </w:rPr>
        <w:t>法律效力。</w:t>
      </w:r>
    </w:p>
    <w:p w14:paraId="3EC7D40A">
      <w:pPr>
        <w:tabs>
          <w:tab w:val="left" w:pos="567"/>
        </w:tabs>
        <w:spacing w:line="360" w:lineRule="auto"/>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4.</w:t>
      </w:r>
      <w:bookmarkStart w:id="33" w:name="tip_risk_bookmark_37"/>
      <w:r>
        <w:rPr>
          <w:rFonts w:hint="eastAsia" w:ascii="仿宋_GB2312" w:hAnsi="仿宋_GB2312" w:eastAsia="仿宋_GB2312" w:cs="仿宋_GB2312"/>
          <w:color w:val="auto"/>
          <w:sz w:val="28"/>
          <w:szCs w:val="28"/>
          <w:highlight w:val="none"/>
        </w:rPr>
        <w:t>本合同有效期限自</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年</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月</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日至</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年</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月</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日止。</w:t>
      </w:r>
      <w:bookmarkEnd w:id="33"/>
    </w:p>
    <w:p w14:paraId="54A8D06D">
      <w:pPr>
        <w:pStyle w:val="16"/>
        <w:spacing w:line="360" w:lineRule="auto"/>
        <w:ind w:left="568" w:firstLine="0" w:firstLineChars="0"/>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第九条 其他</w:t>
      </w:r>
    </w:p>
    <w:p w14:paraId="6A02539A">
      <w:pPr>
        <w:spacing w:line="360" w:lineRule="auto"/>
        <w:ind w:firstLine="565" w:firstLineChars="202"/>
        <w:rPr>
          <w:rFonts w:hint="eastAsia" w:ascii="仿宋_GB2312" w:hAnsi="仿宋_GB2312" w:eastAsia="仿宋_GB2312" w:cs="仿宋_GB2312"/>
          <w:bCs/>
          <w:strike/>
          <w:color w:val="auto"/>
          <w:sz w:val="28"/>
          <w:szCs w:val="28"/>
          <w:highlight w:val="none"/>
        </w:rPr>
      </w:pPr>
      <w:r>
        <w:rPr>
          <w:rFonts w:hint="eastAsia" w:ascii="仿宋_GB2312" w:hAnsi="仿宋_GB2312" w:eastAsia="仿宋_GB2312" w:cs="仿宋_GB2312"/>
          <w:color w:val="auto"/>
          <w:sz w:val="28"/>
          <w:szCs w:val="28"/>
          <w:highlight w:val="none"/>
          <w:lang w:eastAsia="zh-CN"/>
        </w:rPr>
        <w:t>1.</w:t>
      </w:r>
      <w:r>
        <w:rPr>
          <w:rFonts w:hint="eastAsia" w:ascii="仿宋_GB2312" w:hAnsi="仿宋_GB2312" w:eastAsia="仿宋_GB2312" w:cs="仿宋_GB2312"/>
          <w:color w:val="auto"/>
          <w:sz w:val="28"/>
          <w:szCs w:val="28"/>
          <w:highlight w:val="none"/>
        </w:rPr>
        <w:t>甲方业务人员与乙方的所有协议、约定，均以盖有甲方合同专用章</w:t>
      </w:r>
      <w:r>
        <w:rPr>
          <w:rFonts w:hint="eastAsia" w:ascii="仿宋_GB2312" w:hAnsi="仿宋_GB2312" w:eastAsia="仿宋_GB2312" w:cs="仿宋_GB2312"/>
          <w:color w:val="auto"/>
          <w:sz w:val="28"/>
          <w:szCs w:val="28"/>
          <w:highlight w:val="none"/>
          <w:lang w:eastAsia="zh-CN"/>
        </w:rPr>
        <w:t>且有</w:t>
      </w:r>
      <w:r>
        <w:rPr>
          <w:rFonts w:hint="eastAsia" w:ascii="仿宋_GB2312" w:hAnsi="仿宋_GB2312" w:eastAsia="仿宋_GB2312" w:cs="仿宋_GB2312"/>
          <w:color w:val="auto"/>
          <w:sz w:val="28"/>
          <w:szCs w:val="28"/>
          <w:highlight w:val="none"/>
        </w:rPr>
        <w:t>甲方授权代表签字方为有效，任何口头承诺或约定均视为业务人员的个人行为，甲方</w:t>
      </w:r>
      <w:r>
        <w:rPr>
          <w:rFonts w:hint="eastAsia" w:ascii="仿宋_GB2312" w:hAnsi="仿宋_GB2312" w:eastAsia="仿宋_GB2312" w:cs="仿宋_GB2312"/>
          <w:color w:val="auto"/>
          <w:sz w:val="28"/>
          <w:szCs w:val="28"/>
          <w:highlight w:val="none"/>
          <w:lang w:eastAsia="zh-CN"/>
        </w:rPr>
        <w:t>概不负责</w:t>
      </w:r>
      <w:r>
        <w:rPr>
          <w:rFonts w:hint="eastAsia" w:ascii="仿宋_GB2312" w:hAnsi="仿宋_GB2312" w:eastAsia="仿宋_GB2312" w:cs="仿宋_GB2312"/>
          <w:color w:val="auto"/>
          <w:sz w:val="28"/>
          <w:szCs w:val="28"/>
          <w:highlight w:val="none"/>
        </w:rPr>
        <w:t>。</w:t>
      </w:r>
    </w:p>
    <w:p w14:paraId="732A64F9">
      <w:pPr>
        <w:pStyle w:val="16"/>
        <w:spacing w:line="360" w:lineRule="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2.</w:t>
      </w:r>
      <w:r>
        <w:rPr>
          <w:rFonts w:hint="eastAsia" w:ascii="仿宋_GB2312" w:hAnsi="仿宋_GB2312" w:eastAsia="仿宋_GB2312" w:cs="仿宋_GB2312"/>
          <w:bCs/>
          <w:color w:val="auto"/>
          <w:sz w:val="28"/>
          <w:szCs w:val="28"/>
          <w:highlight w:val="none"/>
        </w:rPr>
        <w:t>乙方应认真阅读本合同及其附件的全部内容，在全面了解并认可后签订本合同。</w:t>
      </w:r>
      <w:r>
        <w:rPr>
          <w:rFonts w:hint="eastAsia" w:ascii="仿宋_GB2312" w:hAnsi="仿宋_GB2312" w:eastAsia="仿宋_GB2312" w:cs="仿宋_GB2312"/>
          <w:color w:val="auto"/>
          <w:sz w:val="28"/>
          <w:szCs w:val="28"/>
          <w:highlight w:val="none"/>
        </w:rPr>
        <w:t xml:space="preserve">本合同中未尽事宜经双方协商需补充的条款可另行签订补充协议，补充协议需双方签字盖章后生效，作为本合同的附件。合同附件与本合同具有同等效力。经双方确认的往来信函、传真、电子邮件等，将作为本合同的组成部分，具有合同的效力。 </w:t>
      </w:r>
    </w:p>
    <w:p w14:paraId="29622E85">
      <w:pPr>
        <w:pStyle w:val="16"/>
        <w:numPr>
          <w:ilvl w:val="0"/>
          <w:numId w:val="0"/>
        </w:numPr>
        <w:spacing w:line="360" w:lineRule="auto"/>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kern w:val="2"/>
          <w:sz w:val="28"/>
          <w:szCs w:val="28"/>
          <w:highlight w:val="none"/>
          <w:lang w:val="en-US" w:eastAsia="zh-CN" w:bidi="ar-SA"/>
        </w:rPr>
        <w:t>3.</w:t>
      </w:r>
      <w:bookmarkStart w:id="34" w:name="auto_fouce_38"/>
      <w:r>
        <w:rPr>
          <w:rFonts w:hint="eastAsia" w:ascii="仿宋_GB2312" w:hAnsi="仿宋_GB2312" w:eastAsia="仿宋_GB2312" w:cs="仿宋_GB2312"/>
          <w:color w:val="auto"/>
          <w:sz w:val="28"/>
          <w:szCs w:val="28"/>
          <w:highlight w:val="none"/>
        </w:rPr>
        <w:t>本合同自双方签字盖章之日起</w:t>
      </w:r>
      <w:r>
        <w:rPr>
          <w:rFonts w:hint="eastAsia" w:ascii="仿宋_GB2312" w:hAnsi="仿宋_GB2312" w:eastAsia="仿宋_GB2312" w:cs="仿宋_GB2312"/>
          <w:color w:val="auto"/>
          <w:sz w:val="28"/>
          <w:szCs w:val="28"/>
          <w:highlight w:val="none"/>
          <w:lang w:eastAsia="zh-CN"/>
        </w:rPr>
        <w:t>，且甲方收到乙方履约保证金时生效。</w:t>
      </w:r>
      <w:bookmarkEnd w:id="34"/>
    </w:p>
    <w:p w14:paraId="752EB043">
      <w:pPr>
        <w:pStyle w:val="16"/>
        <w:widowControl w:val="0"/>
        <w:numPr>
          <w:ilvl w:val="0"/>
          <w:numId w:val="0"/>
        </w:numPr>
        <w:spacing w:line="360" w:lineRule="auto"/>
        <w:ind w:firstLine="560" w:firstLineChars="200"/>
        <w:jc w:val="both"/>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kern w:val="2"/>
          <w:sz w:val="28"/>
          <w:szCs w:val="28"/>
          <w:highlight w:val="none"/>
          <w:lang w:val="en-US" w:eastAsia="zh-CN" w:bidi="ar-SA"/>
        </w:rPr>
        <w:t>4.</w:t>
      </w:r>
      <w:r>
        <w:rPr>
          <w:rFonts w:hint="eastAsia" w:ascii="仿宋_GB2312" w:hAnsi="仿宋_GB2312" w:eastAsia="仿宋_GB2312" w:cs="仿宋_GB2312"/>
          <w:color w:val="auto"/>
          <w:sz w:val="28"/>
          <w:szCs w:val="28"/>
          <w:highlight w:val="none"/>
        </w:rPr>
        <w:t>本协议未尽事宜双方协商解决，不能协商解决的由甲方所在地有管辖权的法院裁定</w:t>
      </w:r>
      <w:r>
        <w:rPr>
          <w:rFonts w:hint="eastAsia" w:ascii="仿宋_GB2312" w:hAnsi="仿宋_GB2312" w:eastAsia="仿宋_GB2312" w:cs="仿宋_GB2312"/>
          <w:color w:val="auto"/>
          <w:sz w:val="28"/>
          <w:szCs w:val="28"/>
          <w:highlight w:val="none"/>
          <w:lang w:eastAsia="zh-CN"/>
        </w:rPr>
        <w:t>。</w:t>
      </w:r>
      <w:bookmarkEnd w:id="32"/>
    </w:p>
    <w:p w14:paraId="4686953D">
      <w:pPr>
        <w:pStyle w:val="16"/>
        <w:widowControl w:val="0"/>
        <w:numPr>
          <w:ilvl w:val="0"/>
          <w:numId w:val="0"/>
        </w:numPr>
        <w:spacing w:line="360" w:lineRule="auto"/>
        <w:ind w:firstLine="560" w:firstLineChars="200"/>
        <w:jc w:val="both"/>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以下无正文。</w:t>
      </w:r>
    </w:p>
    <w:p w14:paraId="558A314A">
      <w:pPr>
        <w:pStyle w:val="16"/>
        <w:widowControl w:val="0"/>
        <w:numPr>
          <w:ilvl w:val="0"/>
          <w:numId w:val="0"/>
        </w:numPr>
        <w:spacing w:line="360" w:lineRule="auto"/>
        <w:ind w:firstLine="560" w:firstLineChars="200"/>
        <w:jc w:val="both"/>
        <w:rPr>
          <w:rFonts w:hint="eastAsia" w:ascii="仿宋_GB2312" w:hAnsi="仿宋_GB2312" w:eastAsia="仿宋_GB2312" w:cs="仿宋_GB2312"/>
          <w:color w:val="auto"/>
          <w:sz w:val="28"/>
          <w:szCs w:val="28"/>
          <w:highlight w:val="none"/>
          <w:lang w:eastAsia="zh-CN"/>
        </w:rPr>
      </w:pPr>
    </w:p>
    <w:tbl>
      <w:tblPr>
        <w:tblStyle w:val="8"/>
        <w:tblpPr w:leftFromText="180" w:rightFromText="180" w:vertAnchor="page" w:horzAnchor="page" w:tblpX="1669" w:tblpY="8055"/>
        <w:tblOverlap w:val="never"/>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58"/>
        <w:gridCol w:w="4098"/>
      </w:tblGrid>
      <w:tr w14:paraId="53FBE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2737" w:type="pct"/>
            <w:tcBorders>
              <w:top w:val="single" w:color="auto" w:sz="4" w:space="0"/>
              <w:left w:val="single" w:color="auto" w:sz="4" w:space="0"/>
              <w:bottom w:val="single" w:color="auto" w:sz="4" w:space="0"/>
              <w:right w:val="single" w:color="auto" w:sz="4" w:space="0"/>
            </w:tcBorders>
            <w:vAlign w:val="center"/>
          </w:tcPr>
          <w:p w14:paraId="68B22C4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甲方</w:t>
            </w:r>
          </w:p>
        </w:tc>
        <w:tc>
          <w:tcPr>
            <w:tcW w:w="2262" w:type="pct"/>
            <w:tcBorders>
              <w:top w:val="single" w:color="auto" w:sz="4" w:space="0"/>
              <w:left w:val="nil"/>
              <w:bottom w:val="single" w:color="auto" w:sz="4" w:space="0"/>
              <w:right w:val="single" w:color="auto" w:sz="4" w:space="0"/>
            </w:tcBorders>
            <w:vAlign w:val="center"/>
          </w:tcPr>
          <w:p w14:paraId="32615A8F">
            <w:pPr>
              <w:keepNext w:val="0"/>
              <w:keepLines w:val="0"/>
              <w:pageBreakBefore w:val="0"/>
              <w:widowControl/>
              <w:kinsoku/>
              <w:wordWrap/>
              <w:overflowPunct/>
              <w:topLinePunct w:val="0"/>
              <w:autoSpaceDE/>
              <w:autoSpaceDN/>
              <w:bidi w:val="0"/>
              <w:adjustRightInd/>
              <w:snapToGrid/>
              <w:spacing w:line="400" w:lineRule="exact"/>
              <w:ind w:firstLine="1807" w:firstLineChars="643"/>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乙方</w:t>
            </w:r>
          </w:p>
        </w:tc>
      </w:tr>
      <w:tr w14:paraId="31F4A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5" w:hRule="atLeast"/>
        </w:trPr>
        <w:tc>
          <w:tcPr>
            <w:tcW w:w="2737" w:type="pct"/>
            <w:tcBorders>
              <w:top w:val="nil"/>
              <w:left w:val="single" w:color="auto" w:sz="4" w:space="0"/>
              <w:bottom w:val="single" w:color="auto" w:sz="4" w:space="0"/>
              <w:right w:val="single" w:color="auto" w:sz="4" w:space="0"/>
            </w:tcBorders>
            <w:vAlign w:val="center"/>
          </w:tcPr>
          <w:p w14:paraId="52F95271">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color w:val="auto"/>
                <w:sz w:val="28"/>
                <w:szCs w:val="28"/>
                <w:highlight w:val="none"/>
              </w:rPr>
            </w:pPr>
            <w:bookmarkStart w:id="35" w:name="tip_risk_bookmark_39"/>
            <w:r>
              <w:rPr>
                <w:rFonts w:hint="eastAsia" w:ascii="仿宋_GB2312" w:hAnsi="仿宋_GB2312" w:eastAsia="仿宋_GB2312" w:cs="仿宋_GB2312"/>
                <w:b/>
                <w:color w:val="auto"/>
                <w:sz w:val="28"/>
                <w:szCs w:val="28"/>
                <w:highlight w:val="none"/>
                <w:lang w:bidi="ar"/>
              </w:rPr>
              <w:t>单位（章）：北大荒泰华有机食品股份有限公司依兰鲜食玉米农业科技分公司</w:t>
            </w:r>
          </w:p>
        </w:tc>
        <w:tc>
          <w:tcPr>
            <w:tcW w:w="2262" w:type="pct"/>
            <w:tcBorders>
              <w:top w:val="nil"/>
              <w:left w:val="nil"/>
              <w:bottom w:val="single" w:color="auto" w:sz="4" w:space="0"/>
              <w:right w:val="single" w:color="auto" w:sz="4" w:space="0"/>
            </w:tcBorders>
            <w:vAlign w:val="center"/>
          </w:tcPr>
          <w:p w14:paraId="4106C08E">
            <w:pPr>
              <w:keepNext w:val="0"/>
              <w:keepLines w:val="0"/>
              <w:pageBreakBefore w:val="0"/>
              <w:widowControl/>
              <w:kinsoku/>
              <w:wordWrap/>
              <w:overflowPunct/>
              <w:topLinePunct w:val="0"/>
              <w:autoSpaceDE/>
              <w:autoSpaceDN/>
              <w:bidi w:val="0"/>
              <w:adjustRightInd/>
              <w:snapToGrid/>
              <w:spacing w:line="400" w:lineRule="exact"/>
              <w:textAlignment w:val="auto"/>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 xml:space="preserve">单位（章）：        </w:t>
            </w:r>
          </w:p>
        </w:tc>
      </w:tr>
      <w:tr w14:paraId="47F6B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737" w:type="pct"/>
            <w:tcBorders>
              <w:top w:val="nil"/>
              <w:left w:val="single" w:color="auto" w:sz="4" w:space="0"/>
              <w:bottom w:val="single" w:color="auto" w:sz="4" w:space="0"/>
              <w:right w:val="single" w:color="auto" w:sz="4" w:space="0"/>
            </w:tcBorders>
            <w:vAlign w:val="center"/>
          </w:tcPr>
          <w:p w14:paraId="274788E6">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法定代表人：</w:t>
            </w:r>
          </w:p>
        </w:tc>
        <w:tc>
          <w:tcPr>
            <w:tcW w:w="2262" w:type="pct"/>
            <w:tcBorders>
              <w:top w:val="nil"/>
              <w:left w:val="nil"/>
              <w:bottom w:val="single" w:color="auto" w:sz="4" w:space="0"/>
              <w:right w:val="single" w:color="auto" w:sz="4" w:space="0"/>
            </w:tcBorders>
            <w:vAlign w:val="center"/>
          </w:tcPr>
          <w:p w14:paraId="31D725EB">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 xml:space="preserve">法定代表人： </w:t>
            </w:r>
          </w:p>
        </w:tc>
      </w:tr>
      <w:tr w14:paraId="1E206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737" w:type="pct"/>
            <w:tcBorders>
              <w:top w:val="single" w:color="auto" w:sz="4" w:space="0"/>
              <w:left w:val="single" w:color="auto" w:sz="4" w:space="0"/>
              <w:bottom w:val="single" w:color="auto" w:sz="4" w:space="0"/>
              <w:right w:val="single" w:color="auto" w:sz="4" w:space="0"/>
            </w:tcBorders>
            <w:vAlign w:val="center"/>
          </w:tcPr>
          <w:p w14:paraId="6CBC310E">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委托代理人：</w:t>
            </w:r>
          </w:p>
        </w:tc>
        <w:tc>
          <w:tcPr>
            <w:tcW w:w="2262" w:type="pct"/>
            <w:tcBorders>
              <w:top w:val="nil"/>
              <w:left w:val="nil"/>
              <w:bottom w:val="nil"/>
              <w:right w:val="single" w:color="auto" w:sz="4" w:space="0"/>
            </w:tcBorders>
            <w:vAlign w:val="center"/>
          </w:tcPr>
          <w:p w14:paraId="02CDF071">
            <w:pPr>
              <w:keepNext w:val="0"/>
              <w:keepLines w:val="0"/>
              <w:pageBreakBefore w:val="0"/>
              <w:widowControl/>
              <w:kinsoku/>
              <w:wordWrap/>
              <w:overflowPunct/>
              <w:topLinePunct w:val="0"/>
              <w:autoSpaceDE/>
              <w:autoSpaceDN/>
              <w:bidi w:val="0"/>
              <w:adjustRightInd/>
              <w:snapToGrid/>
              <w:spacing w:line="400" w:lineRule="exact"/>
              <w:textAlignment w:val="auto"/>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委托代理人：</w:t>
            </w:r>
          </w:p>
        </w:tc>
      </w:tr>
      <w:tr w14:paraId="461E7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737" w:type="pct"/>
            <w:tcBorders>
              <w:top w:val="nil"/>
              <w:left w:val="single" w:color="auto" w:sz="4" w:space="0"/>
              <w:bottom w:val="single" w:color="auto" w:sz="4" w:space="0"/>
              <w:right w:val="single" w:color="auto" w:sz="4" w:space="0"/>
            </w:tcBorders>
            <w:vAlign w:val="center"/>
          </w:tcPr>
          <w:p w14:paraId="657BD022">
            <w:pPr>
              <w:keepNext w:val="0"/>
              <w:keepLines w:val="0"/>
              <w:pageBreakBefore w:val="0"/>
              <w:widowControl/>
              <w:kinsoku/>
              <w:wordWrap/>
              <w:overflowPunct/>
              <w:topLinePunct w:val="0"/>
              <w:autoSpaceDE/>
              <w:autoSpaceDN/>
              <w:bidi w:val="0"/>
              <w:adjustRightInd/>
              <w:snapToGrid/>
              <w:spacing w:line="400" w:lineRule="exact"/>
              <w:textAlignment w:val="auto"/>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联系电话：15840910893</w:t>
            </w:r>
          </w:p>
        </w:tc>
        <w:tc>
          <w:tcPr>
            <w:tcW w:w="2262" w:type="pct"/>
            <w:tcBorders>
              <w:top w:val="single" w:color="auto" w:sz="4" w:space="0"/>
              <w:left w:val="nil"/>
              <w:bottom w:val="single" w:color="auto" w:sz="4" w:space="0"/>
              <w:right w:val="single" w:color="auto" w:sz="4" w:space="0"/>
            </w:tcBorders>
            <w:vAlign w:val="center"/>
          </w:tcPr>
          <w:p w14:paraId="29A1EF7D">
            <w:pPr>
              <w:keepNext w:val="0"/>
              <w:keepLines w:val="0"/>
              <w:pageBreakBefore w:val="0"/>
              <w:widowControl/>
              <w:kinsoku/>
              <w:wordWrap/>
              <w:overflowPunct/>
              <w:topLinePunct w:val="0"/>
              <w:autoSpaceDE/>
              <w:autoSpaceDN/>
              <w:bidi w:val="0"/>
              <w:adjustRightInd/>
              <w:snapToGrid/>
              <w:spacing w:line="400" w:lineRule="exact"/>
              <w:textAlignment w:val="auto"/>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联系电话：</w:t>
            </w:r>
          </w:p>
        </w:tc>
      </w:tr>
      <w:tr w14:paraId="3DA49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737" w:type="pct"/>
            <w:tcBorders>
              <w:top w:val="nil"/>
              <w:left w:val="single" w:color="auto" w:sz="4" w:space="0"/>
              <w:bottom w:val="single" w:color="auto" w:sz="4" w:space="0"/>
              <w:right w:val="single" w:color="auto" w:sz="4" w:space="0"/>
            </w:tcBorders>
            <w:vAlign w:val="center"/>
          </w:tcPr>
          <w:p w14:paraId="520E55A8">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开户行：中国农业银行股份有限公司依兰县支行</w:t>
            </w:r>
          </w:p>
        </w:tc>
        <w:tc>
          <w:tcPr>
            <w:tcW w:w="2262" w:type="pct"/>
            <w:tcBorders>
              <w:top w:val="nil"/>
              <w:left w:val="nil"/>
              <w:bottom w:val="single" w:color="auto" w:sz="4" w:space="0"/>
              <w:right w:val="single" w:color="auto" w:sz="4" w:space="0"/>
            </w:tcBorders>
            <w:vAlign w:val="center"/>
          </w:tcPr>
          <w:p w14:paraId="6D38D1C1">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shd w:val="clear" w:color="auto" w:fill="FFFFFF"/>
                <w:lang w:bidi="ar"/>
              </w:rPr>
              <w:t>开户行：</w:t>
            </w:r>
          </w:p>
        </w:tc>
      </w:tr>
      <w:tr w14:paraId="75B2E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737" w:type="pct"/>
            <w:tcBorders>
              <w:top w:val="nil"/>
              <w:left w:val="single" w:color="auto" w:sz="4" w:space="0"/>
              <w:bottom w:val="single" w:color="auto" w:sz="4" w:space="0"/>
              <w:right w:val="single" w:color="auto" w:sz="4" w:space="0"/>
            </w:tcBorders>
            <w:vAlign w:val="center"/>
          </w:tcPr>
          <w:p w14:paraId="34AD0F0D">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户名：北大荒泰华有机食品股份有限公司依兰鲜食玉米农业科技分公司</w:t>
            </w:r>
          </w:p>
        </w:tc>
        <w:tc>
          <w:tcPr>
            <w:tcW w:w="2262" w:type="pct"/>
            <w:tcBorders>
              <w:top w:val="nil"/>
              <w:left w:val="nil"/>
              <w:bottom w:val="single" w:color="auto" w:sz="4" w:space="0"/>
              <w:right w:val="single" w:color="auto" w:sz="4" w:space="0"/>
            </w:tcBorders>
            <w:vAlign w:val="center"/>
          </w:tcPr>
          <w:p w14:paraId="1A9AD614">
            <w:pPr>
              <w:keepNext w:val="0"/>
              <w:keepLines w:val="0"/>
              <w:pageBreakBefore w:val="0"/>
              <w:widowControl/>
              <w:kinsoku/>
              <w:wordWrap/>
              <w:overflowPunct/>
              <w:topLinePunct w:val="0"/>
              <w:autoSpaceDE/>
              <w:autoSpaceDN/>
              <w:bidi w:val="0"/>
              <w:adjustRightInd/>
              <w:snapToGrid/>
              <w:spacing w:line="400" w:lineRule="exact"/>
              <w:textAlignment w:val="auto"/>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 xml:space="preserve">户名：          </w:t>
            </w:r>
          </w:p>
        </w:tc>
      </w:tr>
      <w:tr w14:paraId="6CC07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737" w:type="pct"/>
            <w:tcBorders>
              <w:top w:val="nil"/>
              <w:left w:val="single" w:color="auto" w:sz="4" w:space="0"/>
              <w:bottom w:val="single" w:color="auto" w:sz="4" w:space="0"/>
              <w:right w:val="single" w:color="auto" w:sz="4" w:space="0"/>
            </w:tcBorders>
            <w:vAlign w:val="center"/>
          </w:tcPr>
          <w:p w14:paraId="7CB9FA1B">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 xml:space="preserve">账号：08012201040028573  </w:t>
            </w:r>
          </w:p>
        </w:tc>
        <w:tc>
          <w:tcPr>
            <w:tcW w:w="2262" w:type="pct"/>
            <w:tcBorders>
              <w:top w:val="nil"/>
              <w:left w:val="nil"/>
              <w:bottom w:val="single" w:color="auto" w:sz="4" w:space="0"/>
              <w:right w:val="single" w:color="auto" w:sz="4" w:space="0"/>
            </w:tcBorders>
            <w:vAlign w:val="center"/>
          </w:tcPr>
          <w:p w14:paraId="74896C3A">
            <w:pPr>
              <w:keepNext w:val="0"/>
              <w:keepLines w:val="0"/>
              <w:pageBreakBefore w:val="0"/>
              <w:widowControl/>
              <w:kinsoku/>
              <w:wordWrap/>
              <w:overflowPunct/>
              <w:topLinePunct w:val="0"/>
              <w:autoSpaceDE/>
              <w:autoSpaceDN/>
              <w:bidi w:val="0"/>
              <w:adjustRightInd/>
              <w:snapToGrid/>
              <w:spacing w:line="400" w:lineRule="exact"/>
              <w:textAlignment w:val="auto"/>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账号：</w:t>
            </w:r>
          </w:p>
        </w:tc>
      </w:tr>
      <w:tr w14:paraId="14D28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737" w:type="pct"/>
            <w:tcBorders>
              <w:top w:val="nil"/>
              <w:left w:val="single" w:color="auto" w:sz="4" w:space="0"/>
              <w:bottom w:val="single" w:color="auto" w:sz="4" w:space="0"/>
              <w:right w:val="single" w:color="auto" w:sz="4" w:space="0"/>
            </w:tcBorders>
            <w:vAlign w:val="center"/>
          </w:tcPr>
          <w:p w14:paraId="3DBBCF53">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办公邮箱：</w:t>
            </w:r>
          </w:p>
        </w:tc>
        <w:tc>
          <w:tcPr>
            <w:tcW w:w="2262" w:type="pct"/>
            <w:tcBorders>
              <w:top w:val="nil"/>
              <w:left w:val="nil"/>
              <w:bottom w:val="single" w:color="auto" w:sz="4" w:space="0"/>
              <w:right w:val="single" w:color="auto" w:sz="4" w:space="0"/>
            </w:tcBorders>
            <w:vAlign w:val="center"/>
          </w:tcPr>
          <w:p w14:paraId="60A6F86E">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lang w:bidi="ar"/>
              </w:rPr>
              <w:t>办公邮箱：</w:t>
            </w:r>
          </w:p>
        </w:tc>
      </w:tr>
      <w:bookmarkEnd w:id="35"/>
    </w:tbl>
    <w:p w14:paraId="3A1A9AFF">
      <w:pPr>
        <w:pStyle w:val="16"/>
        <w:widowControl w:val="0"/>
        <w:numPr>
          <w:ilvl w:val="0"/>
          <w:numId w:val="0"/>
        </w:numPr>
        <w:spacing w:line="360" w:lineRule="auto"/>
        <w:jc w:val="both"/>
        <w:rPr>
          <w:rFonts w:hint="eastAsia" w:ascii="仿宋_GB2312" w:hAnsi="仿宋_GB2312" w:eastAsia="仿宋_GB2312" w:cs="仿宋_GB2312"/>
          <w:color w:val="auto"/>
          <w:sz w:val="28"/>
          <w:szCs w:val="28"/>
          <w:highlight w:val="none"/>
          <w:lang w:eastAsia="zh-CN"/>
        </w:rPr>
      </w:pPr>
    </w:p>
    <w:sectPr>
      <w:headerReference r:id="rId3" w:type="default"/>
      <w:footerReference r:id="rId4" w:type="default"/>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84C082B-2E1C-4A24-AC29-271305C77738}"/>
  </w:font>
  <w:font w:name="Arial">
    <w:panose1 w:val="020B0604020202020204"/>
    <w:charset w:val="01"/>
    <w:family w:val="swiss"/>
    <w:pitch w:val="default"/>
    <w:sig w:usb0="E0002EFF" w:usb1="C000785B" w:usb2="00000009" w:usb3="00000000" w:csb0="400001FF" w:csb1="FFFF0000"/>
    <w:embedRegular r:id="rId2" w:fontKey="{4B766FA4-812C-4B53-8BEA-0A47C104FF86}"/>
  </w:font>
  <w:font w:name="黑体">
    <w:panose1 w:val="02010609060101010101"/>
    <w:charset w:val="86"/>
    <w:family w:val="auto"/>
    <w:pitch w:val="default"/>
    <w:sig w:usb0="800002BF" w:usb1="38CF7CFA" w:usb2="00000016" w:usb3="00000000" w:csb0="00040001" w:csb1="00000000"/>
    <w:embedRegular r:id="rId3" w:fontKey="{C68D1E5A-6045-4E50-88F9-E9C7B5C37C59}"/>
  </w:font>
  <w:font w:name="Courier New">
    <w:panose1 w:val="02070309020205020404"/>
    <w:charset w:val="01"/>
    <w:family w:val="modern"/>
    <w:pitch w:val="default"/>
    <w:sig w:usb0="E0002EFF" w:usb1="C0007843" w:usb2="00000009" w:usb3="00000000" w:csb0="400001FF" w:csb1="FFFF0000"/>
    <w:embedRegular r:id="rId4" w:fontKey="{99184345-4650-4B26-A22B-B3DD6A5CE5C3}"/>
  </w:font>
  <w:font w:name="Symbol">
    <w:panose1 w:val="05050102010706020507"/>
    <w:charset w:val="02"/>
    <w:family w:val="roman"/>
    <w:pitch w:val="default"/>
    <w:sig w:usb0="00000000" w:usb1="00000000" w:usb2="00000000" w:usb3="00000000" w:csb0="80000000" w:csb1="00000000"/>
    <w:embedRegular r:id="rId5" w:fontKey="{FF459659-9A36-42B8-9B1E-2379A292B0CE}"/>
  </w:font>
  <w:font w:name="Calibri">
    <w:panose1 w:val="020F0502020204030204"/>
    <w:charset w:val="00"/>
    <w:family w:val="swiss"/>
    <w:pitch w:val="default"/>
    <w:sig w:usb0="E4002EFF" w:usb1="C000247B" w:usb2="00000009" w:usb3="00000000" w:csb0="200001FF" w:csb1="00000000"/>
    <w:embedRegular r:id="rId6" w:fontKey="{ECEA2B4F-200F-402C-9D72-22F5ACB9055E}"/>
  </w:font>
  <w:font w:name="微软雅黑">
    <w:panose1 w:val="020B0503020204020204"/>
    <w:charset w:val="7A"/>
    <w:family w:val="swiss"/>
    <w:pitch w:val="default"/>
    <w:sig w:usb0="80000287" w:usb1="2ACF3C50" w:usb2="00000016" w:usb3="00000000" w:csb0="0004001F" w:csb1="00000000"/>
    <w:embedRegular r:id="rId7" w:fontKey="{11A7E3D7-351C-434E-8456-6D180E83E422}"/>
  </w:font>
  <w:font w:name="仿宋">
    <w:panose1 w:val="02010609060101010101"/>
    <w:charset w:val="7A"/>
    <w:family w:val="modern"/>
    <w:pitch w:val="default"/>
    <w:sig w:usb0="800002BF" w:usb1="38CF7CFA" w:usb2="00000016" w:usb3="00000000" w:csb0="00040001" w:csb1="00000000"/>
    <w:embedRegular r:id="rId8" w:fontKey="{0B2B7464-EFB7-4BC2-909A-11147B335744}"/>
  </w:font>
  <w:font w:name="仿宋_GB2312">
    <w:panose1 w:val="02010609030101010101"/>
    <w:charset w:val="86"/>
    <w:family w:val="modern"/>
    <w:pitch w:val="default"/>
    <w:sig w:usb0="00000001" w:usb1="080E0000" w:usb2="00000000" w:usb3="00000000" w:csb0="00040000" w:csb1="00000000"/>
    <w:embedRegular r:id="rId9" w:fontKey="{E01A29A4-0896-4AB1-80A8-430887DEC4CE}"/>
  </w:font>
  <w:font w:name="Cambria">
    <w:panose1 w:val="02040503050406030204"/>
    <w:charset w:val="00"/>
    <w:family w:val="roman"/>
    <w:pitch w:val="default"/>
    <w:sig w:usb0="E00006FF" w:usb1="420024FF" w:usb2="02000000" w:usb3="00000000" w:csb0="2000019F" w:csb1="00000000"/>
    <w:embedRegular r:id="rId10" w:fontKey="{AA44C843-A41E-4F1C-A76F-4301ECF8951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2EDAC">
    <w:pPr>
      <w:pStyle w:val="5"/>
      <w:jc w:val="center"/>
      <w:rPr>
        <w:rFonts w:hint="eastAsia"/>
        <w:sz w:val="24"/>
        <w:szCs w:val="24"/>
      </w:rPr>
    </w:pPr>
    <w:r>
      <w:rPr>
        <w:rFonts w:hint="eastAsia"/>
        <w:sz w:val="24"/>
        <w:szCs w:val="24"/>
      </w:rPr>
      <w:t>第</w:t>
    </w:r>
    <w:r>
      <w:rPr>
        <w:sz w:val="24"/>
        <w:szCs w:val="24"/>
      </w:rPr>
      <w:fldChar w:fldCharType="begin"/>
    </w:r>
    <w:r>
      <w:rPr>
        <w:sz w:val="24"/>
        <w:szCs w:val="24"/>
      </w:rPr>
      <w:instrText xml:space="preserve"> </w:instrText>
    </w:r>
    <w:r>
      <w:rPr>
        <w:rFonts w:hint="eastAsia"/>
        <w:sz w:val="24"/>
        <w:szCs w:val="24"/>
      </w:rPr>
      <w:instrText xml:space="preserve">PAGE  \* Arabic  \* MERGEFORMAT</w:instrText>
    </w:r>
    <w:r>
      <w:rPr>
        <w:sz w:val="24"/>
        <w:szCs w:val="24"/>
      </w:rPr>
      <w:instrText xml:space="preserve"> </w:instrText>
    </w:r>
    <w:r>
      <w:rPr>
        <w:sz w:val="24"/>
        <w:szCs w:val="24"/>
      </w:rPr>
      <w:fldChar w:fldCharType="separate"/>
    </w:r>
    <w:r>
      <w:rPr>
        <w:sz w:val="24"/>
        <w:szCs w:val="24"/>
      </w:rPr>
      <w:t>1</w:t>
    </w:r>
    <w:r>
      <w:rPr>
        <w:sz w:val="24"/>
        <w:szCs w:val="24"/>
      </w:rPr>
      <w:fldChar w:fldCharType="end"/>
    </w:r>
    <w:r>
      <w:rPr>
        <w:rFonts w:hint="eastAsia"/>
        <w:sz w:val="24"/>
        <w:szCs w:val="24"/>
      </w:rPr>
      <w:t>页/共</w:t>
    </w:r>
    <w:r>
      <w:rPr>
        <w:sz w:val="24"/>
        <w:szCs w:val="24"/>
      </w:rPr>
      <w:fldChar w:fldCharType="begin"/>
    </w:r>
    <w:r>
      <w:rPr>
        <w:sz w:val="24"/>
        <w:szCs w:val="24"/>
      </w:rPr>
      <w:instrText xml:space="preserve"> </w:instrText>
    </w:r>
    <w:r>
      <w:rPr>
        <w:rFonts w:hint="eastAsia"/>
        <w:sz w:val="24"/>
        <w:szCs w:val="24"/>
      </w:rPr>
      <w:instrText xml:space="preserve">NUMPAGES  \* Arabic  \* MERGEFORMAT</w:instrText>
    </w:r>
    <w:r>
      <w:rPr>
        <w:sz w:val="24"/>
        <w:szCs w:val="24"/>
      </w:rPr>
      <w:instrText xml:space="preserve"> </w:instrText>
    </w:r>
    <w:r>
      <w:rPr>
        <w:sz w:val="24"/>
        <w:szCs w:val="24"/>
      </w:rPr>
      <w:fldChar w:fldCharType="separate"/>
    </w:r>
    <w:r>
      <w:rPr>
        <w:sz w:val="24"/>
        <w:szCs w:val="24"/>
      </w:rPr>
      <w:t>7</w:t>
    </w:r>
    <w:r>
      <w:rPr>
        <w:sz w:val="24"/>
        <w:szCs w:val="24"/>
      </w:rPr>
      <w:fldChar w:fldCharType="end"/>
    </w:r>
    <w:r>
      <w:rPr>
        <w:rFonts w:hint="eastAsia"/>
        <w:sz w:val="24"/>
        <w:szCs w:val="24"/>
      </w:rPr>
      <w:t>页</w:t>
    </w:r>
  </w:p>
  <w:p w14:paraId="28F7DB6F">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5B9BE">
    <w:pPr>
      <w:pStyle w:val="6"/>
      <w:pBdr>
        <w:bottom w:val="none" w:color="auto" w:sz="0" w:space="0"/>
      </w:pBdr>
      <w:wordWrap w:val="0"/>
      <w:ind w:right="13284"/>
      <w:jc w:val="right"/>
      <w:rPr>
        <w:rFonts w:hint="eastAsia" w:ascii="Cambria" w:hAnsi="Cambria"/>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988"/>
    <w:rsid w:val="0003352D"/>
    <w:rsid w:val="000434C1"/>
    <w:rsid w:val="0005335B"/>
    <w:rsid w:val="00053B67"/>
    <w:rsid w:val="00057BC2"/>
    <w:rsid w:val="00062FAA"/>
    <w:rsid w:val="00071410"/>
    <w:rsid w:val="000756CB"/>
    <w:rsid w:val="00081119"/>
    <w:rsid w:val="0008500B"/>
    <w:rsid w:val="000863A3"/>
    <w:rsid w:val="000A49B7"/>
    <w:rsid w:val="000B77B5"/>
    <w:rsid w:val="000C3158"/>
    <w:rsid w:val="000C6334"/>
    <w:rsid w:val="000E0792"/>
    <w:rsid w:val="000F4C91"/>
    <w:rsid w:val="000F654A"/>
    <w:rsid w:val="000F79EA"/>
    <w:rsid w:val="001007AC"/>
    <w:rsid w:val="001051EF"/>
    <w:rsid w:val="00111A61"/>
    <w:rsid w:val="00113B6F"/>
    <w:rsid w:val="0011560B"/>
    <w:rsid w:val="001249BD"/>
    <w:rsid w:val="00126106"/>
    <w:rsid w:val="00134DA0"/>
    <w:rsid w:val="00137323"/>
    <w:rsid w:val="00144C8C"/>
    <w:rsid w:val="00145570"/>
    <w:rsid w:val="00152BA6"/>
    <w:rsid w:val="00154484"/>
    <w:rsid w:val="00165336"/>
    <w:rsid w:val="001664EA"/>
    <w:rsid w:val="001724F6"/>
    <w:rsid w:val="00184956"/>
    <w:rsid w:val="001923C0"/>
    <w:rsid w:val="00195261"/>
    <w:rsid w:val="00196A50"/>
    <w:rsid w:val="00197999"/>
    <w:rsid w:val="00197BDC"/>
    <w:rsid w:val="001A2353"/>
    <w:rsid w:val="001B0C74"/>
    <w:rsid w:val="001B56DD"/>
    <w:rsid w:val="001C2D6B"/>
    <w:rsid w:val="001C6B2F"/>
    <w:rsid w:val="001D636A"/>
    <w:rsid w:val="001E0931"/>
    <w:rsid w:val="001E12F5"/>
    <w:rsid w:val="001E408B"/>
    <w:rsid w:val="001F062D"/>
    <w:rsid w:val="001F439A"/>
    <w:rsid w:val="001F7B91"/>
    <w:rsid w:val="00201231"/>
    <w:rsid w:val="002012AC"/>
    <w:rsid w:val="00204E28"/>
    <w:rsid w:val="002132E2"/>
    <w:rsid w:val="00221EC2"/>
    <w:rsid w:val="0022490F"/>
    <w:rsid w:val="00226956"/>
    <w:rsid w:val="0023131E"/>
    <w:rsid w:val="00234DCD"/>
    <w:rsid w:val="00251EFE"/>
    <w:rsid w:val="002558CE"/>
    <w:rsid w:val="00260C19"/>
    <w:rsid w:val="002617F1"/>
    <w:rsid w:val="0026700F"/>
    <w:rsid w:val="00274B86"/>
    <w:rsid w:val="00276138"/>
    <w:rsid w:val="002808E3"/>
    <w:rsid w:val="00280FDB"/>
    <w:rsid w:val="00284381"/>
    <w:rsid w:val="00286267"/>
    <w:rsid w:val="00287870"/>
    <w:rsid w:val="0029168E"/>
    <w:rsid w:val="00291C44"/>
    <w:rsid w:val="002A1C47"/>
    <w:rsid w:val="002A4147"/>
    <w:rsid w:val="002A44F2"/>
    <w:rsid w:val="002A58A5"/>
    <w:rsid w:val="002A781A"/>
    <w:rsid w:val="002C2926"/>
    <w:rsid w:val="002C55B0"/>
    <w:rsid w:val="002C656E"/>
    <w:rsid w:val="002D343C"/>
    <w:rsid w:val="002D3B06"/>
    <w:rsid w:val="002E5182"/>
    <w:rsid w:val="002F0014"/>
    <w:rsid w:val="002F1963"/>
    <w:rsid w:val="003037A0"/>
    <w:rsid w:val="0031569C"/>
    <w:rsid w:val="003337E8"/>
    <w:rsid w:val="0034096D"/>
    <w:rsid w:val="00342C38"/>
    <w:rsid w:val="00351467"/>
    <w:rsid w:val="00351E66"/>
    <w:rsid w:val="00354BE2"/>
    <w:rsid w:val="00355DAC"/>
    <w:rsid w:val="003569F8"/>
    <w:rsid w:val="00360724"/>
    <w:rsid w:val="0036154D"/>
    <w:rsid w:val="00367D37"/>
    <w:rsid w:val="00370D2C"/>
    <w:rsid w:val="00371B07"/>
    <w:rsid w:val="00391C7F"/>
    <w:rsid w:val="003A2D66"/>
    <w:rsid w:val="003B53F4"/>
    <w:rsid w:val="003B6CA6"/>
    <w:rsid w:val="003C13AD"/>
    <w:rsid w:val="003C21AD"/>
    <w:rsid w:val="003D0A0D"/>
    <w:rsid w:val="003D40E6"/>
    <w:rsid w:val="003D66DE"/>
    <w:rsid w:val="003E1F33"/>
    <w:rsid w:val="003E48AC"/>
    <w:rsid w:val="003F037A"/>
    <w:rsid w:val="003F0A89"/>
    <w:rsid w:val="003F122F"/>
    <w:rsid w:val="003F4D37"/>
    <w:rsid w:val="00402121"/>
    <w:rsid w:val="00410EAE"/>
    <w:rsid w:val="00415DAD"/>
    <w:rsid w:val="00425F58"/>
    <w:rsid w:val="0042774D"/>
    <w:rsid w:val="0043181E"/>
    <w:rsid w:val="00434B0A"/>
    <w:rsid w:val="004359B1"/>
    <w:rsid w:val="00435ACB"/>
    <w:rsid w:val="0043639E"/>
    <w:rsid w:val="004416B1"/>
    <w:rsid w:val="00443D7C"/>
    <w:rsid w:val="004473C5"/>
    <w:rsid w:val="00453933"/>
    <w:rsid w:val="00463FAE"/>
    <w:rsid w:val="00466093"/>
    <w:rsid w:val="00480AB8"/>
    <w:rsid w:val="00480C39"/>
    <w:rsid w:val="004833F9"/>
    <w:rsid w:val="0049366A"/>
    <w:rsid w:val="004936CD"/>
    <w:rsid w:val="004A1F96"/>
    <w:rsid w:val="004A2A30"/>
    <w:rsid w:val="004A7BF7"/>
    <w:rsid w:val="004B3D19"/>
    <w:rsid w:val="004C0322"/>
    <w:rsid w:val="004C5206"/>
    <w:rsid w:val="004C6DC0"/>
    <w:rsid w:val="004D17E2"/>
    <w:rsid w:val="004D60CE"/>
    <w:rsid w:val="004E62F0"/>
    <w:rsid w:val="004E77AA"/>
    <w:rsid w:val="004F4040"/>
    <w:rsid w:val="00500118"/>
    <w:rsid w:val="005201E2"/>
    <w:rsid w:val="00526746"/>
    <w:rsid w:val="00540619"/>
    <w:rsid w:val="00540AAB"/>
    <w:rsid w:val="00544DB0"/>
    <w:rsid w:val="005460C0"/>
    <w:rsid w:val="005505E9"/>
    <w:rsid w:val="0055385D"/>
    <w:rsid w:val="0055690D"/>
    <w:rsid w:val="00564755"/>
    <w:rsid w:val="00574998"/>
    <w:rsid w:val="0058659E"/>
    <w:rsid w:val="00586E1F"/>
    <w:rsid w:val="00587761"/>
    <w:rsid w:val="0059146A"/>
    <w:rsid w:val="005934CD"/>
    <w:rsid w:val="00596E7E"/>
    <w:rsid w:val="00597589"/>
    <w:rsid w:val="005A6581"/>
    <w:rsid w:val="005A72C2"/>
    <w:rsid w:val="005B26FC"/>
    <w:rsid w:val="005C2145"/>
    <w:rsid w:val="005C7FA7"/>
    <w:rsid w:val="005D5530"/>
    <w:rsid w:val="005D617E"/>
    <w:rsid w:val="005E587C"/>
    <w:rsid w:val="005F4556"/>
    <w:rsid w:val="005F62B3"/>
    <w:rsid w:val="006166D4"/>
    <w:rsid w:val="0061777D"/>
    <w:rsid w:val="00624C72"/>
    <w:rsid w:val="0063350A"/>
    <w:rsid w:val="00635F76"/>
    <w:rsid w:val="00637AAF"/>
    <w:rsid w:val="00644A26"/>
    <w:rsid w:val="0065685D"/>
    <w:rsid w:val="006569C2"/>
    <w:rsid w:val="0066112B"/>
    <w:rsid w:val="00661733"/>
    <w:rsid w:val="00667508"/>
    <w:rsid w:val="00670A7F"/>
    <w:rsid w:val="006768AF"/>
    <w:rsid w:val="0068240C"/>
    <w:rsid w:val="00682A1B"/>
    <w:rsid w:val="00685014"/>
    <w:rsid w:val="006901B7"/>
    <w:rsid w:val="006932C2"/>
    <w:rsid w:val="006967D7"/>
    <w:rsid w:val="006A223A"/>
    <w:rsid w:val="006A4136"/>
    <w:rsid w:val="006B0C45"/>
    <w:rsid w:val="006B20DE"/>
    <w:rsid w:val="006B63E2"/>
    <w:rsid w:val="006C1F33"/>
    <w:rsid w:val="006C5DDC"/>
    <w:rsid w:val="006D1FA4"/>
    <w:rsid w:val="006D301D"/>
    <w:rsid w:val="006E3700"/>
    <w:rsid w:val="006E6027"/>
    <w:rsid w:val="006E6EBB"/>
    <w:rsid w:val="006F06E1"/>
    <w:rsid w:val="006F4A52"/>
    <w:rsid w:val="00701160"/>
    <w:rsid w:val="00716A68"/>
    <w:rsid w:val="00721DC0"/>
    <w:rsid w:val="00723077"/>
    <w:rsid w:val="00724B44"/>
    <w:rsid w:val="00727C3A"/>
    <w:rsid w:val="00735E4C"/>
    <w:rsid w:val="00750EDF"/>
    <w:rsid w:val="00752FFA"/>
    <w:rsid w:val="007605C7"/>
    <w:rsid w:val="007664A6"/>
    <w:rsid w:val="00795567"/>
    <w:rsid w:val="00795A2C"/>
    <w:rsid w:val="007A2F43"/>
    <w:rsid w:val="007A78FA"/>
    <w:rsid w:val="007B4A7B"/>
    <w:rsid w:val="007B571A"/>
    <w:rsid w:val="007C2749"/>
    <w:rsid w:val="007D0111"/>
    <w:rsid w:val="007D446C"/>
    <w:rsid w:val="007D66CF"/>
    <w:rsid w:val="007E6AE1"/>
    <w:rsid w:val="008047C8"/>
    <w:rsid w:val="0081485E"/>
    <w:rsid w:val="00821D5C"/>
    <w:rsid w:val="008249F7"/>
    <w:rsid w:val="00827475"/>
    <w:rsid w:val="00832B55"/>
    <w:rsid w:val="0083434A"/>
    <w:rsid w:val="00837C29"/>
    <w:rsid w:val="008461A9"/>
    <w:rsid w:val="00860D39"/>
    <w:rsid w:val="00864C54"/>
    <w:rsid w:val="00871F6B"/>
    <w:rsid w:val="00873EDA"/>
    <w:rsid w:val="00884AAB"/>
    <w:rsid w:val="00884DD7"/>
    <w:rsid w:val="00885878"/>
    <w:rsid w:val="008A02E3"/>
    <w:rsid w:val="008A3285"/>
    <w:rsid w:val="008A486B"/>
    <w:rsid w:val="008B600F"/>
    <w:rsid w:val="008C627B"/>
    <w:rsid w:val="008C6666"/>
    <w:rsid w:val="008C7491"/>
    <w:rsid w:val="008E196A"/>
    <w:rsid w:val="008E5956"/>
    <w:rsid w:val="008F5040"/>
    <w:rsid w:val="008F65DE"/>
    <w:rsid w:val="008F743D"/>
    <w:rsid w:val="00911EA4"/>
    <w:rsid w:val="00913652"/>
    <w:rsid w:val="00920EBE"/>
    <w:rsid w:val="00921DDB"/>
    <w:rsid w:val="00925325"/>
    <w:rsid w:val="009270F2"/>
    <w:rsid w:val="00943788"/>
    <w:rsid w:val="0095422D"/>
    <w:rsid w:val="00955669"/>
    <w:rsid w:val="009673F9"/>
    <w:rsid w:val="009759AB"/>
    <w:rsid w:val="00977DCA"/>
    <w:rsid w:val="00981663"/>
    <w:rsid w:val="00997264"/>
    <w:rsid w:val="009A2A04"/>
    <w:rsid w:val="009A2EA7"/>
    <w:rsid w:val="009A4C9D"/>
    <w:rsid w:val="009B2DC3"/>
    <w:rsid w:val="009B548F"/>
    <w:rsid w:val="009C0D5F"/>
    <w:rsid w:val="009F00ED"/>
    <w:rsid w:val="009F06BB"/>
    <w:rsid w:val="009F23E3"/>
    <w:rsid w:val="009F3605"/>
    <w:rsid w:val="009F4DC3"/>
    <w:rsid w:val="009F5B55"/>
    <w:rsid w:val="00A13CF4"/>
    <w:rsid w:val="00A20CDF"/>
    <w:rsid w:val="00A31525"/>
    <w:rsid w:val="00A337D6"/>
    <w:rsid w:val="00A34C7C"/>
    <w:rsid w:val="00A3677D"/>
    <w:rsid w:val="00A46652"/>
    <w:rsid w:val="00A5544F"/>
    <w:rsid w:val="00A55B3D"/>
    <w:rsid w:val="00A71096"/>
    <w:rsid w:val="00A75651"/>
    <w:rsid w:val="00A76905"/>
    <w:rsid w:val="00A861CE"/>
    <w:rsid w:val="00A878B3"/>
    <w:rsid w:val="00AA0B9F"/>
    <w:rsid w:val="00AA0CD6"/>
    <w:rsid w:val="00AB7C23"/>
    <w:rsid w:val="00AC05FE"/>
    <w:rsid w:val="00AC44AE"/>
    <w:rsid w:val="00AD231B"/>
    <w:rsid w:val="00AD2365"/>
    <w:rsid w:val="00AE048C"/>
    <w:rsid w:val="00AE3370"/>
    <w:rsid w:val="00AE6EDB"/>
    <w:rsid w:val="00AE70D0"/>
    <w:rsid w:val="00AF72B6"/>
    <w:rsid w:val="00B03E81"/>
    <w:rsid w:val="00B05D8B"/>
    <w:rsid w:val="00B121E0"/>
    <w:rsid w:val="00B14808"/>
    <w:rsid w:val="00B16B09"/>
    <w:rsid w:val="00B1743B"/>
    <w:rsid w:val="00B37BEA"/>
    <w:rsid w:val="00B41356"/>
    <w:rsid w:val="00B50CC2"/>
    <w:rsid w:val="00B53057"/>
    <w:rsid w:val="00B54AF3"/>
    <w:rsid w:val="00B562D3"/>
    <w:rsid w:val="00B56BC5"/>
    <w:rsid w:val="00B606DF"/>
    <w:rsid w:val="00B62B3B"/>
    <w:rsid w:val="00B70AEC"/>
    <w:rsid w:val="00B768CD"/>
    <w:rsid w:val="00B862BA"/>
    <w:rsid w:val="00B97775"/>
    <w:rsid w:val="00BA7E91"/>
    <w:rsid w:val="00BB1D13"/>
    <w:rsid w:val="00BC0B4E"/>
    <w:rsid w:val="00BC73D1"/>
    <w:rsid w:val="00BD260C"/>
    <w:rsid w:val="00BF5BC6"/>
    <w:rsid w:val="00C01147"/>
    <w:rsid w:val="00C1346D"/>
    <w:rsid w:val="00C15184"/>
    <w:rsid w:val="00C32B7A"/>
    <w:rsid w:val="00C350F7"/>
    <w:rsid w:val="00C3668F"/>
    <w:rsid w:val="00C40447"/>
    <w:rsid w:val="00C46D06"/>
    <w:rsid w:val="00C46EFD"/>
    <w:rsid w:val="00C66DC8"/>
    <w:rsid w:val="00C7475F"/>
    <w:rsid w:val="00C81038"/>
    <w:rsid w:val="00C85585"/>
    <w:rsid w:val="00C90E33"/>
    <w:rsid w:val="00C94FCE"/>
    <w:rsid w:val="00C95896"/>
    <w:rsid w:val="00CB039D"/>
    <w:rsid w:val="00CB0CD2"/>
    <w:rsid w:val="00CB1C31"/>
    <w:rsid w:val="00CB30A0"/>
    <w:rsid w:val="00CB328B"/>
    <w:rsid w:val="00CB506F"/>
    <w:rsid w:val="00CB68E2"/>
    <w:rsid w:val="00CB6BB0"/>
    <w:rsid w:val="00CD3A63"/>
    <w:rsid w:val="00CD7B12"/>
    <w:rsid w:val="00CE4768"/>
    <w:rsid w:val="00CE7826"/>
    <w:rsid w:val="00CF2180"/>
    <w:rsid w:val="00CF317A"/>
    <w:rsid w:val="00CF5A51"/>
    <w:rsid w:val="00D029B7"/>
    <w:rsid w:val="00D05C83"/>
    <w:rsid w:val="00D14148"/>
    <w:rsid w:val="00D20CCA"/>
    <w:rsid w:val="00D2524E"/>
    <w:rsid w:val="00D3202D"/>
    <w:rsid w:val="00D32884"/>
    <w:rsid w:val="00D40596"/>
    <w:rsid w:val="00D53BF7"/>
    <w:rsid w:val="00D77C43"/>
    <w:rsid w:val="00D81BAC"/>
    <w:rsid w:val="00D844F0"/>
    <w:rsid w:val="00D860A1"/>
    <w:rsid w:val="00D93645"/>
    <w:rsid w:val="00D95D14"/>
    <w:rsid w:val="00DB4C43"/>
    <w:rsid w:val="00DB7B52"/>
    <w:rsid w:val="00DC0C45"/>
    <w:rsid w:val="00DC4E7B"/>
    <w:rsid w:val="00DD0CE2"/>
    <w:rsid w:val="00DD0F96"/>
    <w:rsid w:val="00DD6308"/>
    <w:rsid w:val="00DD7491"/>
    <w:rsid w:val="00DE4748"/>
    <w:rsid w:val="00DE4DAE"/>
    <w:rsid w:val="00DE5490"/>
    <w:rsid w:val="00DF2DA9"/>
    <w:rsid w:val="00E00E17"/>
    <w:rsid w:val="00E0202F"/>
    <w:rsid w:val="00E05AE5"/>
    <w:rsid w:val="00E07471"/>
    <w:rsid w:val="00E132C6"/>
    <w:rsid w:val="00E14828"/>
    <w:rsid w:val="00E17560"/>
    <w:rsid w:val="00E21A68"/>
    <w:rsid w:val="00E23FB0"/>
    <w:rsid w:val="00E34ED9"/>
    <w:rsid w:val="00E37C2E"/>
    <w:rsid w:val="00E501B7"/>
    <w:rsid w:val="00E53948"/>
    <w:rsid w:val="00E573E5"/>
    <w:rsid w:val="00E65E18"/>
    <w:rsid w:val="00E66B19"/>
    <w:rsid w:val="00E72108"/>
    <w:rsid w:val="00E81C9B"/>
    <w:rsid w:val="00E8592E"/>
    <w:rsid w:val="00E91518"/>
    <w:rsid w:val="00E92021"/>
    <w:rsid w:val="00E92023"/>
    <w:rsid w:val="00E96352"/>
    <w:rsid w:val="00EA3177"/>
    <w:rsid w:val="00EC17F9"/>
    <w:rsid w:val="00EC304F"/>
    <w:rsid w:val="00ED2A11"/>
    <w:rsid w:val="00ED2EEE"/>
    <w:rsid w:val="00ED5F1E"/>
    <w:rsid w:val="00EF3F3E"/>
    <w:rsid w:val="00EF6CAB"/>
    <w:rsid w:val="00F008F2"/>
    <w:rsid w:val="00F038D9"/>
    <w:rsid w:val="00F07ED5"/>
    <w:rsid w:val="00F122F9"/>
    <w:rsid w:val="00F14ABE"/>
    <w:rsid w:val="00F161CB"/>
    <w:rsid w:val="00F168F9"/>
    <w:rsid w:val="00F24EF0"/>
    <w:rsid w:val="00F2695A"/>
    <w:rsid w:val="00F301DF"/>
    <w:rsid w:val="00F30935"/>
    <w:rsid w:val="00F31E56"/>
    <w:rsid w:val="00F37A1F"/>
    <w:rsid w:val="00F40474"/>
    <w:rsid w:val="00F469FB"/>
    <w:rsid w:val="00F61BE7"/>
    <w:rsid w:val="00F64346"/>
    <w:rsid w:val="00F825B2"/>
    <w:rsid w:val="00FA0C86"/>
    <w:rsid w:val="00FA1CA6"/>
    <w:rsid w:val="00FA2CC7"/>
    <w:rsid w:val="00FA37AF"/>
    <w:rsid w:val="00FB0A84"/>
    <w:rsid w:val="00FB2D66"/>
    <w:rsid w:val="00FB3FC0"/>
    <w:rsid w:val="00FC2ECE"/>
    <w:rsid w:val="00FC6A76"/>
    <w:rsid w:val="00FC74E1"/>
    <w:rsid w:val="00FC7870"/>
    <w:rsid w:val="00FD265B"/>
    <w:rsid w:val="00FD3ACF"/>
    <w:rsid w:val="00FD67D9"/>
    <w:rsid w:val="00FD6D79"/>
    <w:rsid w:val="00FD7CE8"/>
    <w:rsid w:val="00FE28A2"/>
    <w:rsid w:val="00FE6D12"/>
    <w:rsid w:val="00FF1653"/>
    <w:rsid w:val="00FF1BC2"/>
    <w:rsid w:val="00FF2E87"/>
    <w:rsid w:val="01311128"/>
    <w:rsid w:val="01766762"/>
    <w:rsid w:val="0251262F"/>
    <w:rsid w:val="027C4E1D"/>
    <w:rsid w:val="02811AA0"/>
    <w:rsid w:val="02BB0CC0"/>
    <w:rsid w:val="031A722C"/>
    <w:rsid w:val="03466DF0"/>
    <w:rsid w:val="03F12712"/>
    <w:rsid w:val="0475302A"/>
    <w:rsid w:val="04A83D32"/>
    <w:rsid w:val="04C85439"/>
    <w:rsid w:val="056F7FC9"/>
    <w:rsid w:val="061F3FE0"/>
    <w:rsid w:val="06504129"/>
    <w:rsid w:val="06A146BF"/>
    <w:rsid w:val="079052BE"/>
    <w:rsid w:val="085B318D"/>
    <w:rsid w:val="08714030"/>
    <w:rsid w:val="08FD2BC4"/>
    <w:rsid w:val="0B556D1F"/>
    <w:rsid w:val="0BC5737A"/>
    <w:rsid w:val="0E133466"/>
    <w:rsid w:val="0F8C6CB2"/>
    <w:rsid w:val="10511868"/>
    <w:rsid w:val="11243145"/>
    <w:rsid w:val="11D579FF"/>
    <w:rsid w:val="12E561D5"/>
    <w:rsid w:val="12FE1373"/>
    <w:rsid w:val="132165E1"/>
    <w:rsid w:val="134200D0"/>
    <w:rsid w:val="13532FD1"/>
    <w:rsid w:val="1358360D"/>
    <w:rsid w:val="13A4635F"/>
    <w:rsid w:val="13B87ED8"/>
    <w:rsid w:val="1432119B"/>
    <w:rsid w:val="14815955"/>
    <w:rsid w:val="14AA2F7C"/>
    <w:rsid w:val="156247B7"/>
    <w:rsid w:val="15865F48"/>
    <w:rsid w:val="15A85B68"/>
    <w:rsid w:val="16164DCC"/>
    <w:rsid w:val="161C633D"/>
    <w:rsid w:val="162F159C"/>
    <w:rsid w:val="16BA38D7"/>
    <w:rsid w:val="16DB1D0E"/>
    <w:rsid w:val="174476DC"/>
    <w:rsid w:val="194133F7"/>
    <w:rsid w:val="19FF2DD4"/>
    <w:rsid w:val="1A4947F3"/>
    <w:rsid w:val="1AF5016C"/>
    <w:rsid w:val="1DA1563E"/>
    <w:rsid w:val="1E1833A0"/>
    <w:rsid w:val="1E6F01A8"/>
    <w:rsid w:val="1EBA2402"/>
    <w:rsid w:val="1F9D1730"/>
    <w:rsid w:val="20170718"/>
    <w:rsid w:val="20324312"/>
    <w:rsid w:val="203B5F12"/>
    <w:rsid w:val="20A84084"/>
    <w:rsid w:val="217D410C"/>
    <w:rsid w:val="223069A9"/>
    <w:rsid w:val="2255234D"/>
    <w:rsid w:val="240E5081"/>
    <w:rsid w:val="24113CCB"/>
    <w:rsid w:val="24407634"/>
    <w:rsid w:val="24746374"/>
    <w:rsid w:val="24D2576E"/>
    <w:rsid w:val="262D5CA5"/>
    <w:rsid w:val="26BB0B04"/>
    <w:rsid w:val="27C508B5"/>
    <w:rsid w:val="27F50A05"/>
    <w:rsid w:val="286C0D4D"/>
    <w:rsid w:val="28C22D40"/>
    <w:rsid w:val="2907142C"/>
    <w:rsid w:val="2A587879"/>
    <w:rsid w:val="2BD360E4"/>
    <w:rsid w:val="2C8F2928"/>
    <w:rsid w:val="2D654905"/>
    <w:rsid w:val="2E200AA5"/>
    <w:rsid w:val="2E903C71"/>
    <w:rsid w:val="2F8E333B"/>
    <w:rsid w:val="2FB96A39"/>
    <w:rsid w:val="2FCC7E7D"/>
    <w:rsid w:val="2FFF7743"/>
    <w:rsid w:val="30960C45"/>
    <w:rsid w:val="3212759F"/>
    <w:rsid w:val="326C654A"/>
    <w:rsid w:val="32C325F0"/>
    <w:rsid w:val="33072921"/>
    <w:rsid w:val="33085691"/>
    <w:rsid w:val="330903C1"/>
    <w:rsid w:val="33217603"/>
    <w:rsid w:val="334E706B"/>
    <w:rsid w:val="33F51635"/>
    <w:rsid w:val="34AB31E9"/>
    <w:rsid w:val="34E00D83"/>
    <w:rsid w:val="350C2575"/>
    <w:rsid w:val="36D41598"/>
    <w:rsid w:val="371435AC"/>
    <w:rsid w:val="3716241A"/>
    <w:rsid w:val="3861060B"/>
    <w:rsid w:val="387415FD"/>
    <w:rsid w:val="38A038F1"/>
    <w:rsid w:val="38A92015"/>
    <w:rsid w:val="38CA2AF0"/>
    <w:rsid w:val="39F934E9"/>
    <w:rsid w:val="3ACC1152"/>
    <w:rsid w:val="3B012DB3"/>
    <w:rsid w:val="3B36465C"/>
    <w:rsid w:val="3B9A21B9"/>
    <w:rsid w:val="3BDA29D0"/>
    <w:rsid w:val="3BFA301F"/>
    <w:rsid w:val="3C26336A"/>
    <w:rsid w:val="3D454AB6"/>
    <w:rsid w:val="3DDF2B92"/>
    <w:rsid w:val="3E2838C6"/>
    <w:rsid w:val="3F1E6CB1"/>
    <w:rsid w:val="3F234C24"/>
    <w:rsid w:val="3FEF892E"/>
    <w:rsid w:val="40493C80"/>
    <w:rsid w:val="406E5F28"/>
    <w:rsid w:val="41F4245B"/>
    <w:rsid w:val="42396F9A"/>
    <w:rsid w:val="42CC09EF"/>
    <w:rsid w:val="42F11BFD"/>
    <w:rsid w:val="436B314C"/>
    <w:rsid w:val="439210B6"/>
    <w:rsid w:val="44325883"/>
    <w:rsid w:val="44BE483F"/>
    <w:rsid w:val="44F1578D"/>
    <w:rsid w:val="45F71FCB"/>
    <w:rsid w:val="46130286"/>
    <w:rsid w:val="47AC46AA"/>
    <w:rsid w:val="48192B16"/>
    <w:rsid w:val="4823249A"/>
    <w:rsid w:val="49441489"/>
    <w:rsid w:val="4A053EAC"/>
    <w:rsid w:val="4A5E44D2"/>
    <w:rsid w:val="4B961867"/>
    <w:rsid w:val="4C0412F7"/>
    <w:rsid w:val="4CFE30B1"/>
    <w:rsid w:val="4D2968D4"/>
    <w:rsid w:val="4EAD2879"/>
    <w:rsid w:val="4ECB5555"/>
    <w:rsid w:val="4ED432DF"/>
    <w:rsid w:val="4F456EE8"/>
    <w:rsid w:val="4F7EC541"/>
    <w:rsid w:val="509F2D50"/>
    <w:rsid w:val="50F76DC2"/>
    <w:rsid w:val="513E4842"/>
    <w:rsid w:val="53472028"/>
    <w:rsid w:val="53B79B85"/>
    <w:rsid w:val="5414163D"/>
    <w:rsid w:val="54616BB5"/>
    <w:rsid w:val="5529145A"/>
    <w:rsid w:val="55AD0424"/>
    <w:rsid w:val="55EF1B47"/>
    <w:rsid w:val="5613539D"/>
    <w:rsid w:val="565B716A"/>
    <w:rsid w:val="56C85FA3"/>
    <w:rsid w:val="57914755"/>
    <w:rsid w:val="58931D95"/>
    <w:rsid w:val="5A4FD74E"/>
    <w:rsid w:val="5A6C35F4"/>
    <w:rsid w:val="5AB97C4C"/>
    <w:rsid w:val="5B6678D8"/>
    <w:rsid w:val="5BFE0B74"/>
    <w:rsid w:val="5C822D26"/>
    <w:rsid w:val="5D44627A"/>
    <w:rsid w:val="5D7D5C2D"/>
    <w:rsid w:val="5DBB3335"/>
    <w:rsid w:val="5DE42FBD"/>
    <w:rsid w:val="5EC33DB8"/>
    <w:rsid w:val="5F36E1AC"/>
    <w:rsid w:val="5F56D383"/>
    <w:rsid w:val="5F707F94"/>
    <w:rsid w:val="60C852C8"/>
    <w:rsid w:val="61034137"/>
    <w:rsid w:val="613C48DF"/>
    <w:rsid w:val="61A7101C"/>
    <w:rsid w:val="621F7FEF"/>
    <w:rsid w:val="62D977D9"/>
    <w:rsid w:val="63BE75DE"/>
    <w:rsid w:val="64644357"/>
    <w:rsid w:val="64DE33E5"/>
    <w:rsid w:val="65193D3A"/>
    <w:rsid w:val="653460B6"/>
    <w:rsid w:val="66495ED8"/>
    <w:rsid w:val="67191601"/>
    <w:rsid w:val="673B2231"/>
    <w:rsid w:val="681E5A8C"/>
    <w:rsid w:val="68267342"/>
    <w:rsid w:val="687B0998"/>
    <w:rsid w:val="691210C5"/>
    <w:rsid w:val="6AAB00B4"/>
    <w:rsid w:val="6AD95A7D"/>
    <w:rsid w:val="6B3F4FF6"/>
    <w:rsid w:val="6BE147E4"/>
    <w:rsid w:val="6C001B90"/>
    <w:rsid w:val="6C3504D4"/>
    <w:rsid w:val="6CBD4F2A"/>
    <w:rsid w:val="6F2B855B"/>
    <w:rsid w:val="6F871F4B"/>
    <w:rsid w:val="6FC337A6"/>
    <w:rsid w:val="6FF4207B"/>
    <w:rsid w:val="6FFF9560"/>
    <w:rsid w:val="70E25E3B"/>
    <w:rsid w:val="7188340C"/>
    <w:rsid w:val="71B7147B"/>
    <w:rsid w:val="71F2E0CB"/>
    <w:rsid w:val="72F8471C"/>
    <w:rsid w:val="746965F4"/>
    <w:rsid w:val="74BD3174"/>
    <w:rsid w:val="74FB73D6"/>
    <w:rsid w:val="759B7A43"/>
    <w:rsid w:val="75C61105"/>
    <w:rsid w:val="77611451"/>
    <w:rsid w:val="77B9030D"/>
    <w:rsid w:val="77CC43E6"/>
    <w:rsid w:val="77D63065"/>
    <w:rsid w:val="77F77A9D"/>
    <w:rsid w:val="788C6CB6"/>
    <w:rsid w:val="78C05EFE"/>
    <w:rsid w:val="79215715"/>
    <w:rsid w:val="792A7861"/>
    <w:rsid w:val="79D63698"/>
    <w:rsid w:val="7A0D08FE"/>
    <w:rsid w:val="7BCF7943"/>
    <w:rsid w:val="7C124C2E"/>
    <w:rsid w:val="7D2248FE"/>
    <w:rsid w:val="7D298092"/>
    <w:rsid w:val="7D965A4F"/>
    <w:rsid w:val="9AFF19CF"/>
    <w:rsid w:val="A7DAFAFD"/>
    <w:rsid w:val="AEEF711D"/>
    <w:rsid w:val="BDF1BA1A"/>
    <w:rsid w:val="BF77D7F9"/>
    <w:rsid w:val="DE7FD5F6"/>
    <w:rsid w:val="DFEF33D0"/>
    <w:rsid w:val="EAA75F7C"/>
    <w:rsid w:val="EB5972AD"/>
    <w:rsid w:val="EBDFA26A"/>
    <w:rsid w:val="ED565279"/>
    <w:rsid w:val="F66D55C5"/>
    <w:rsid w:val="F7ECBDC4"/>
    <w:rsid w:val="FEE3A48D"/>
    <w:rsid w:val="FF7E6AA1"/>
    <w:rsid w:val="FFFF7CC2"/>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10">
    <w:name w:val="Default Paragraph Font"/>
    <w:qFormat/>
    <w:uiPriority w:val="0"/>
    <w:rPr>
      <w:rFonts w:ascii="Times New Roman" w:hAnsi="Times New Roman" w:eastAsia="宋体" w:cs="Times New Roman"/>
    </w:rPr>
  </w:style>
  <w:style w:type="table" w:default="1" w:styleId="8">
    <w:name w:val="Normal Table"/>
    <w:qFormat/>
    <w:uiPriority w:val="0"/>
    <w:tblPr>
      <w:tblCellMar>
        <w:top w:w="0" w:type="dxa"/>
        <w:left w:w="108" w:type="dxa"/>
        <w:bottom w:w="0" w:type="dxa"/>
        <w:right w:w="108" w:type="dxa"/>
      </w:tblCellMar>
    </w:tblPr>
  </w:style>
  <w:style w:type="paragraph" w:styleId="2">
    <w:name w:val="annotation text"/>
    <w:basedOn w:val="1"/>
    <w:qFormat/>
    <w:uiPriority w:val="0"/>
    <w:pPr>
      <w:jc w:val="left"/>
    </w:pPr>
    <w:rPr>
      <w:rFonts w:ascii="Times New Roman" w:hAnsi="Times New Roman" w:eastAsia="宋体" w:cs="Times New Roman"/>
    </w:rPr>
  </w:style>
  <w:style w:type="paragraph" w:styleId="3">
    <w:name w:val="Body Text"/>
    <w:basedOn w:val="1"/>
    <w:link w:val="12"/>
    <w:qFormat/>
    <w:uiPriority w:val="0"/>
    <w:pPr>
      <w:spacing w:after="120" w:afterLines="0"/>
    </w:pPr>
    <w:rPr>
      <w:rFonts w:ascii="Times New Roman" w:hAnsi="Times New Roman" w:eastAsia="宋体" w:cs="Times New Roman"/>
    </w:rPr>
  </w:style>
  <w:style w:type="paragraph" w:styleId="4">
    <w:name w:val="Balloon Text"/>
    <w:basedOn w:val="1"/>
    <w:link w:val="13"/>
    <w:qFormat/>
    <w:uiPriority w:val="0"/>
    <w:rPr>
      <w:rFonts w:ascii="Times New Roman" w:hAnsi="Times New Roman" w:eastAsia="宋体" w:cs="Times New Roman"/>
      <w:kern w:val="0"/>
      <w:sz w:val="18"/>
      <w:szCs w:val="18"/>
    </w:rPr>
  </w:style>
  <w:style w:type="paragraph" w:styleId="5">
    <w:name w:val="footer"/>
    <w:basedOn w:val="1"/>
    <w:link w:val="14"/>
    <w:qFormat/>
    <w:uiPriority w:val="0"/>
    <w:pPr>
      <w:tabs>
        <w:tab w:val="center" w:pos="4153"/>
        <w:tab w:val="right" w:pos="8306"/>
      </w:tabs>
      <w:snapToGrid w:val="0"/>
      <w:jc w:val="left"/>
    </w:pPr>
    <w:rPr>
      <w:rFonts w:ascii="Times New Roman" w:hAnsi="Times New Roman" w:eastAsia="宋体" w:cs="Times New Roman"/>
      <w:kern w:val="0"/>
      <w:sz w:val="18"/>
      <w:szCs w:val="18"/>
    </w:rPr>
  </w:style>
  <w:style w:type="paragraph" w:styleId="6">
    <w:name w:val="header"/>
    <w:basedOn w:val="1"/>
    <w:link w:val="15"/>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paragraph" w:styleId="7">
    <w:name w:val="Normal (Web)"/>
    <w:basedOn w:val="1"/>
    <w:qFormat/>
    <w:uiPriority w:val="0"/>
    <w:pPr>
      <w:jc w:val="left"/>
    </w:pPr>
    <w:rPr>
      <w:rFonts w:ascii="Times New Roman" w:hAnsi="Times New Roman" w:eastAsia="宋体" w:cs="Times New Roman"/>
      <w:kern w:val="0"/>
      <w:sz w:val="24"/>
    </w:rPr>
  </w:style>
  <w:style w:type="table" w:styleId="9">
    <w:name w:val="Table Grid"/>
    <w:basedOn w:val="8"/>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qFormat/>
    <w:uiPriority w:val="0"/>
    <w:rPr>
      <w:sz w:val="16"/>
      <w:szCs w:val="16"/>
    </w:rPr>
  </w:style>
  <w:style w:type="character" w:customStyle="1" w:styleId="12">
    <w:name w:val="正文文本 字符"/>
    <w:link w:val="3"/>
    <w:qFormat/>
    <w:uiPriority w:val="0"/>
    <w:rPr>
      <w:rFonts w:ascii="Times New Roman" w:hAnsi="Times New Roman" w:eastAsia="宋体" w:cs="Times New Roman"/>
      <w:kern w:val="2"/>
      <w:sz w:val="21"/>
      <w:szCs w:val="22"/>
    </w:rPr>
  </w:style>
  <w:style w:type="character" w:customStyle="1" w:styleId="13">
    <w:name w:val="批注框文本 字符"/>
    <w:link w:val="4"/>
    <w:qFormat/>
    <w:uiPriority w:val="0"/>
    <w:rPr>
      <w:rFonts w:ascii="Times New Roman" w:hAnsi="Times New Roman" w:eastAsia="宋体" w:cs="Times New Roman"/>
      <w:sz w:val="18"/>
      <w:szCs w:val="18"/>
    </w:rPr>
  </w:style>
  <w:style w:type="character" w:customStyle="1" w:styleId="14">
    <w:name w:val="页脚 字符1"/>
    <w:link w:val="5"/>
    <w:qFormat/>
    <w:uiPriority w:val="0"/>
    <w:rPr>
      <w:rFonts w:ascii="Times New Roman" w:hAnsi="Times New Roman" w:eastAsia="宋体" w:cs="Times New Roman"/>
      <w:sz w:val="18"/>
      <w:szCs w:val="18"/>
    </w:rPr>
  </w:style>
  <w:style w:type="character" w:customStyle="1" w:styleId="15">
    <w:name w:val="页眉 字符"/>
    <w:link w:val="6"/>
    <w:qFormat/>
    <w:uiPriority w:val="0"/>
    <w:rPr>
      <w:rFonts w:ascii="Times New Roman" w:hAnsi="Times New Roman" w:eastAsia="宋体" w:cs="Times New Roman"/>
      <w:sz w:val="18"/>
      <w:szCs w:val="18"/>
    </w:rPr>
  </w:style>
  <w:style w:type="paragraph" w:customStyle="1" w:styleId="16">
    <w:name w:val="彩色列表 - 着色 11"/>
    <w:basedOn w:val="1"/>
    <w:qFormat/>
    <w:uiPriority w:val="0"/>
    <w:pPr>
      <w:ind w:firstLine="420" w:firstLineChars="200"/>
    </w:pPr>
    <w:rPr>
      <w:rFonts w:ascii="Times New Roman" w:hAnsi="Times New Roman" w:eastAsia="宋体" w:cs="Times New Roman"/>
    </w:rPr>
  </w:style>
  <w:style w:type="character" w:customStyle="1" w:styleId="17">
    <w:name w:val="页脚 字符"/>
    <w:qFormat/>
    <w:uiPriority w:val="0"/>
    <w:rPr>
      <w:rFonts w:ascii="Times New Roman" w:hAnsi="Times New Roman" w:eastAsia="宋体" w:cs="Times New Roman"/>
    </w:rPr>
  </w:style>
  <w:style w:type="paragraph" w:customStyle="1" w:styleId="18">
    <w:name w:val="中等深浅网格 21"/>
    <w:link w:val="19"/>
    <w:qFormat/>
    <w:uiPriority w:val="0"/>
    <w:rPr>
      <w:rFonts w:ascii="Times New Roman" w:hAnsi="Times New Roman" w:eastAsia="宋体" w:cs="Times New Roman"/>
      <w:sz w:val="22"/>
      <w:szCs w:val="22"/>
      <w:lang w:val="en-US" w:eastAsia="zh-CN" w:bidi="ar-SA"/>
    </w:rPr>
  </w:style>
  <w:style w:type="character" w:customStyle="1" w:styleId="19">
    <w:name w:val="中等深浅网格 2 字符"/>
    <w:link w:val="18"/>
    <w:qFormat/>
    <w:uiPriority w:val="0"/>
    <w:rPr>
      <w:rFonts w:ascii="Times New Roman" w:hAnsi="Times New Roman" w:eastAsia="宋体" w:cs="Times New Roman"/>
      <w:sz w:val="22"/>
      <w:szCs w:val="22"/>
      <w:lang w:val="en-US" w:eastAsia="zh-CN" w:bidi="ar-SA"/>
    </w:rPr>
  </w:style>
  <w:style w:type="paragraph" w:customStyle="1" w:styleId="20">
    <w:name w:val="p0"/>
    <w:basedOn w:val="1"/>
    <w:qFormat/>
    <w:uiPriority w:val="0"/>
    <w:pPr>
      <w:widowControl/>
    </w:pPr>
    <w:rPr>
      <w:rFonts w:ascii="Times New Roman" w:hAnsi="Times New Roman" w:eastAsia="宋体" w:cs="Times New Roman"/>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c8cf31b6-3950-4ae3-a187-048cd78b8a9d</errorID>
      <errorWord>（</errorWord>
      <group>L1_Word</group>
      <groupName>字词问题</groupName>
      <ability>L2_Typo</ability>
      <abilityName>字词错误</abilityName>
      <candidateList>
        <item>（公</item>
      </candidateList>
      <explain/>
      <paraID>52F95271</paraID>
      <start>2</start>
      <end>3</end>
      <status>ignored</status>
      <modifiedWord/>
      <trackRevisions>false</trackRevisions>
    </reviewItem>
  </reviewItems>
  <config/>
</contractReview>
</file>

<file path=customXml/itemProps1.xml><?xml version="1.0" encoding="utf-8"?>
<ds:datastoreItem xmlns:ds="http://schemas.openxmlformats.org/officeDocument/2006/customXml" ds:itemID="{41e2f488-7c24-4149-ac3e-59d5a2d5aab0}">
  <ds:schemaRefs/>
</ds:datastoreItem>
</file>

<file path=docProps/app.xml><?xml version="1.0" encoding="utf-8"?>
<Properties xmlns="http://schemas.openxmlformats.org/officeDocument/2006/extended-properties" xmlns:vt="http://schemas.openxmlformats.org/officeDocument/2006/docPropsVTypes">
  <Company>北大荒豆制品有限公司</Company>
  <Pages>10</Pages>
  <Words>4069</Words>
  <Characters>4195</Characters>
  <Lines>109</Lines>
  <Paragraphs>115</Paragraphs>
  <TotalTime>35</TotalTime>
  <ScaleCrop>false</ScaleCrop>
  <LinksUpToDate>false</LinksUpToDate>
  <CharactersWithSpaces>4584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2020-01-02T11:23:00Z</dcterms:created>
  <dc:creator>新电脑公司特别版</dc:creator>
  <cp:lastModifiedBy>lele</cp:lastModifiedBy>
  <cp:lastPrinted>2023-04-09T13:13:00Z</cp:lastPrinted>
  <dcterms:modified xsi:type="dcterms:W3CDTF">2026-05-11T07:10:50Z</dcterms:modified>
  <dc:title>BD-________</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A0E2C1C6E8E94D3B8E5D89E0D6546ABC_13</vt:lpwstr>
  </property>
  <property fmtid="{D5CDD505-2E9C-101B-9397-08002B2CF9AE}" pid="3" name="KSOProductBuildVer">
    <vt:lpwstr>2052-12.1.0.25865</vt:lpwstr>
  </property>
  <property fmtid="{D5CDD505-2E9C-101B-9397-08002B2CF9AE}" pid="4" name="KSOTemplateDocerSaveRecord">
    <vt:lpwstr>eyJoZGlkIjoiZjRkNmQ1ZjUwMjA3NzQwZjZhMDliMmM1YTM0ZjZjOTQiLCJ1c2VySWQiOiIzMzQyODQzMjIifQ==</vt:lpwstr>
  </property>
</Properties>
</file>