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78B4E6">
      <w:pPr>
        <w:spacing w:line="590" w:lineRule="exact"/>
        <w:jc w:val="center"/>
        <w:rPr>
          <w:rFonts w:hint="eastAsia" w:ascii="方正小标宋_GBK" w:hAnsi="方正小标宋_GBK" w:eastAsia="方正小标宋_GBK" w:cs="方正小标宋_GBK"/>
          <w:b/>
          <w:bCs/>
          <w:sz w:val="44"/>
          <w:szCs w:val="44"/>
        </w:rPr>
      </w:pPr>
      <w:r>
        <w:rPr>
          <w:rFonts w:hint="eastAsia" w:ascii="方正小标宋_GBK" w:hAnsi="方正小标宋_GBK" w:eastAsia="方正小标宋_GBK" w:cs="方正小标宋_GBK"/>
          <w:b/>
          <w:bCs/>
          <w:sz w:val="44"/>
          <w:szCs w:val="44"/>
          <w:lang w:val="en-US" w:eastAsia="zh-CN"/>
        </w:rPr>
        <w:t>稻谷</w:t>
      </w:r>
      <w:r>
        <w:rPr>
          <w:rFonts w:hint="eastAsia" w:ascii="方正小标宋_GBK" w:hAnsi="方正小标宋_GBK" w:eastAsia="方正小标宋_GBK" w:cs="方正小标宋_GBK"/>
          <w:b/>
          <w:bCs/>
          <w:sz w:val="44"/>
          <w:szCs w:val="44"/>
        </w:rPr>
        <w:t>购销合作合同</w:t>
      </w:r>
    </w:p>
    <w:p w14:paraId="46C08D62">
      <w:pPr>
        <w:spacing w:line="590" w:lineRule="exact"/>
        <w:jc w:val="cente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（先进后出-以采竞销）</w:t>
      </w:r>
    </w:p>
    <w:p w14:paraId="63FCBA6C">
      <w:pPr>
        <w:spacing w:line="590" w:lineRule="exact"/>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b/>
          <w:bCs/>
          <w:sz w:val="32"/>
          <w:szCs w:val="32"/>
        </w:rPr>
        <w:t xml:space="preserve">                     </w:t>
      </w:r>
      <w:r>
        <w:rPr>
          <w:rFonts w:hint="eastAsia" w:ascii="方正仿宋_GBK" w:hAnsi="方正仿宋_GBK" w:eastAsia="方正仿宋_GBK" w:cs="方正仿宋_GBK"/>
          <w:b/>
          <w:bCs/>
          <w:sz w:val="32"/>
          <w:szCs w:val="32"/>
          <w:lang w:val="en-US" w:eastAsia="zh-CN"/>
        </w:rPr>
        <w:t xml:space="preserve">       </w:t>
      </w:r>
      <w:r>
        <w:rPr>
          <w:rFonts w:hint="eastAsia" w:ascii="方正仿宋_GBK" w:hAnsi="方正仿宋_GBK" w:eastAsia="方正仿宋_GBK" w:cs="方正仿宋_GBK"/>
          <w:sz w:val="32"/>
          <w:szCs w:val="32"/>
        </w:rPr>
        <w:t>合同号：SCBLDG2025</w:t>
      </w:r>
      <w:r>
        <w:rPr>
          <w:rFonts w:hint="eastAsia" w:ascii="方正仿宋_GBK" w:hAnsi="方正仿宋_GBK" w:eastAsia="方正仿宋_GBK" w:cs="方正仿宋_GBK"/>
          <w:sz w:val="32"/>
          <w:szCs w:val="32"/>
          <w:lang w:val="en-US" w:eastAsia="zh-CN"/>
        </w:rPr>
        <w:t>1013</w:t>
      </w:r>
      <w:r>
        <w:rPr>
          <w:rFonts w:hint="eastAsia" w:ascii="方正仿宋_GBK" w:hAnsi="方正仿宋_GBK" w:eastAsia="方正仿宋_GBK" w:cs="方正仿宋_GBK"/>
          <w:sz w:val="32"/>
          <w:szCs w:val="32"/>
        </w:rPr>
        <w:t>-**</w:t>
      </w:r>
    </w:p>
    <w:p w14:paraId="7188A88F">
      <w:pPr>
        <w:widowControl/>
        <w:spacing w:line="590" w:lineRule="exact"/>
        <w:jc w:val="left"/>
        <w:rPr>
          <w:rFonts w:hint="eastAsia" w:ascii="方正仿宋_GBK" w:hAnsi="方正仿宋_GBK" w:eastAsia="方正仿宋_GBK" w:cs="方正仿宋_GBK"/>
          <w:sz w:val="32"/>
          <w:szCs w:val="32"/>
          <w:u w:val="single"/>
        </w:rPr>
      </w:pPr>
      <w:r>
        <w:rPr>
          <w:rFonts w:hint="eastAsia" w:ascii="方正仿宋_GBK" w:hAnsi="方正仿宋_GBK" w:eastAsia="方正仿宋_GBK" w:cs="方正仿宋_GBK"/>
          <w:color w:val="000000"/>
          <w:kern w:val="0"/>
          <w:sz w:val="32"/>
          <w:szCs w:val="32"/>
          <w:lang w:bidi="ar"/>
        </w:rPr>
        <w:t>甲方 ：</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灌云县现代粮食储备有限公司</w:t>
      </w:r>
    </w:p>
    <w:p w14:paraId="22B7624C">
      <w:pPr>
        <w:widowControl/>
        <w:spacing w:line="590" w:lineRule="exact"/>
        <w:jc w:val="left"/>
        <w:rPr>
          <w:rFonts w:hint="eastAsia" w:ascii="方正仿宋_GBK" w:hAnsi="方正仿宋_GBK" w:eastAsia="方正仿宋_GBK" w:cs="方正仿宋_GBK"/>
          <w:color w:val="000000" w:themeColor="text1"/>
          <w:sz w:val="32"/>
          <w:szCs w:val="32"/>
          <w:u w:val="single"/>
          <w14:textFill>
            <w14:solidFill>
              <w14:schemeClr w14:val="tx1"/>
            </w14:solidFill>
          </w14:textFill>
        </w:rPr>
      </w:pPr>
      <w:r>
        <w:rPr>
          <w:rFonts w:hint="eastAsia" w:ascii="方正仿宋_GBK" w:hAnsi="方正仿宋_GBK" w:eastAsia="方正仿宋_GBK" w:cs="方正仿宋_GBK"/>
          <w:color w:val="000000"/>
          <w:kern w:val="0"/>
          <w:sz w:val="32"/>
          <w:szCs w:val="32"/>
          <w:lang w:bidi="ar"/>
        </w:rPr>
        <w:t>乙方 ：</w:t>
      </w:r>
      <w:r>
        <w:rPr>
          <w:rFonts w:hint="eastAsia" w:ascii="方正仿宋_GBK" w:hAnsi="方正仿宋_GBK" w:eastAsia="方正仿宋_GBK" w:cs="方正仿宋_GBK"/>
          <w:color w:val="000000"/>
          <w:kern w:val="0"/>
          <w:sz w:val="32"/>
          <w:szCs w:val="32"/>
          <w:u w:val="single"/>
          <w:lang w:bidi="ar"/>
        </w:rPr>
        <w:t xml:space="preserve"> </w:t>
      </w:r>
      <w:r>
        <w:rPr>
          <w:rFonts w:hint="eastAsia" w:ascii="方正仿宋_GBK" w:hAnsi="方正仿宋_GBK" w:eastAsia="方正仿宋_GBK" w:cs="方正仿宋_GBK"/>
          <w:color w:val="000000"/>
          <w:kern w:val="0"/>
          <w:sz w:val="32"/>
          <w:szCs w:val="32"/>
          <w:u w:val="single"/>
          <w:lang w:val="en-US" w:eastAsia="zh-CN" w:bidi="ar"/>
        </w:rPr>
        <w:t xml:space="preserve">                      </w:t>
      </w:r>
    </w:p>
    <w:p w14:paraId="7042CA42">
      <w:pPr>
        <w:spacing w:line="590" w:lineRule="exact"/>
        <w:ind w:firstLine="480" w:firstLineChars="150"/>
        <w:jc w:val="left"/>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为充分发挥各自优势，合理配置粮源，依据江苏粮油商品交易市场（以下简称江苏市场）202</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5</w:t>
      </w:r>
      <w:r>
        <w:rPr>
          <w:rFonts w:hint="eastAsia" w:ascii="方正仿宋_GBK" w:hAnsi="方正仿宋_GBK" w:eastAsia="方正仿宋_GBK" w:cs="方正仿宋_GBK"/>
          <w:color w:val="000000" w:themeColor="text1"/>
          <w:sz w:val="32"/>
          <w:szCs w:val="32"/>
          <w14:textFill>
            <w14:solidFill>
              <w14:schemeClr w14:val="tx1"/>
            </w14:solidFill>
          </w14:textFill>
        </w:rPr>
        <w:t>年</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10</w:t>
      </w:r>
      <w:r>
        <w:rPr>
          <w:rFonts w:hint="eastAsia" w:ascii="方正仿宋_GBK" w:hAnsi="方正仿宋_GBK" w:eastAsia="方正仿宋_GBK" w:cs="方正仿宋_GBK"/>
          <w:color w:val="000000" w:themeColor="text1"/>
          <w:sz w:val="32"/>
          <w:szCs w:val="32"/>
          <w14:textFill>
            <w14:solidFill>
              <w14:schemeClr w14:val="tx1"/>
            </w14:solidFill>
          </w14:textFill>
        </w:rPr>
        <w:t>月</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13</w:t>
      </w:r>
      <w:r>
        <w:rPr>
          <w:rFonts w:hint="eastAsia" w:ascii="方正仿宋_GBK" w:hAnsi="方正仿宋_GBK" w:eastAsia="方正仿宋_GBK" w:cs="方正仿宋_GBK"/>
          <w:color w:val="000000" w:themeColor="text1"/>
          <w:sz w:val="32"/>
          <w:szCs w:val="32"/>
          <w14:textFill>
            <w14:solidFill>
              <w14:schemeClr w14:val="tx1"/>
            </w14:solidFill>
          </w14:textFill>
        </w:rPr>
        <w:t>日竞价结果，就甲方采购乙方2025年产</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中晚籼稻5146</w:t>
      </w:r>
      <w:r>
        <w:rPr>
          <w:rFonts w:hint="eastAsia" w:ascii="方正仿宋_GBK" w:hAnsi="方正仿宋_GBK" w:eastAsia="方正仿宋_GBK" w:cs="方正仿宋_GBK"/>
          <w:color w:val="000000" w:themeColor="text1"/>
          <w:sz w:val="32"/>
          <w:szCs w:val="32"/>
          <w14:textFill>
            <w14:solidFill>
              <w14:schemeClr w14:val="tx1"/>
            </w14:solidFill>
          </w14:textFill>
        </w:rPr>
        <w:t>吨</w:t>
      </w:r>
      <w:r>
        <w:rPr>
          <w:rFonts w:hint="eastAsia" w:ascii="方正仿宋_GBK" w:hAnsi="方正仿宋_GBK" w:eastAsia="方正仿宋_GBK" w:cs="方正仿宋_GBK"/>
          <w:color w:val="000000" w:themeColor="text1"/>
          <w:sz w:val="32"/>
          <w:szCs w:val="32"/>
          <w:u w:color="FFFFFF"/>
          <w14:textFill>
            <w14:solidFill>
              <w14:schemeClr w14:val="tx1"/>
            </w14:solidFill>
          </w14:textFill>
        </w:rPr>
        <w:t>，同</w:t>
      </w:r>
      <w:r>
        <w:rPr>
          <w:rFonts w:hint="eastAsia" w:ascii="方正仿宋_GBK" w:hAnsi="方正仿宋_GBK" w:eastAsia="方正仿宋_GBK" w:cs="方正仿宋_GBK"/>
          <w:color w:val="000000" w:themeColor="text1"/>
          <w:sz w:val="32"/>
          <w:szCs w:val="32"/>
          <w14:textFill>
            <w14:solidFill>
              <w14:schemeClr w14:val="tx1"/>
            </w14:solidFill>
          </w14:textFill>
        </w:rPr>
        <w:t>时由乙方根据甲方的出库时间要求负责全部回购，达成以下协议：</w:t>
      </w:r>
    </w:p>
    <w:p w14:paraId="4D563F36">
      <w:pPr>
        <w:spacing w:line="590" w:lineRule="exact"/>
        <w:ind w:firstLine="640" w:firstLineChars="200"/>
        <w:jc w:val="left"/>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一、甲方采购乙方2025</w:t>
      </w:r>
      <w:r>
        <w:rPr>
          <w:rFonts w:hint="eastAsia" w:ascii="方正仿宋_GBK" w:hAnsi="方正仿宋_GBK" w:eastAsia="方正仿宋_GBK" w:cs="方正仿宋_GBK"/>
          <w:color w:val="000000" w:themeColor="text1"/>
          <w:kern w:val="0"/>
          <w:sz w:val="32"/>
          <w:szCs w:val="32"/>
          <w:lang w:bidi="ar"/>
          <w14:textFill>
            <w14:solidFill>
              <w14:schemeClr w14:val="tx1"/>
            </w14:solidFill>
          </w14:textFill>
        </w:rPr>
        <w:t>年产</w:t>
      </w:r>
      <w:r>
        <w:rPr>
          <w:rFonts w:hint="eastAsia" w:ascii="方正仿宋_GBK" w:hAnsi="方正仿宋_GBK" w:eastAsia="方正仿宋_GBK" w:cs="方正仿宋_GBK"/>
          <w:color w:val="000000" w:themeColor="text1"/>
          <w:kern w:val="0"/>
          <w:sz w:val="32"/>
          <w:szCs w:val="32"/>
          <w:lang w:val="en-US" w:eastAsia="zh-CN" w:bidi="ar"/>
          <w14:textFill>
            <w14:solidFill>
              <w14:schemeClr w14:val="tx1"/>
            </w14:solidFill>
          </w14:textFill>
        </w:rPr>
        <w:t>中晚籼稻</w:t>
      </w:r>
      <w:r>
        <w:rPr>
          <w:rFonts w:hint="eastAsia" w:ascii="方正仿宋_GBK" w:hAnsi="方正仿宋_GBK" w:eastAsia="方正仿宋_GBK" w:cs="方正仿宋_GBK"/>
          <w:color w:val="000000" w:themeColor="text1"/>
          <w:kern w:val="0"/>
          <w:sz w:val="32"/>
          <w:szCs w:val="32"/>
          <w:u w:val="single"/>
          <w:lang w:val="en-US" w:eastAsia="zh-CN" w:bidi="ar"/>
          <w14:textFill>
            <w14:solidFill>
              <w14:schemeClr w14:val="tx1"/>
            </w14:solidFill>
          </w14:textFill>
        </w:rPr>
        <w:t>5146</w:t>
      </w:r>
      <w:r>
        <w:rPr>
          <w:rFonts w:hint="eastAsia" w:ascii="方正仿宋_GBK" w:hAnsi="方正仿宋_GBK" w:eastAsia="方正仿宋_GBK" w:cs="方正仿宋_GBK"/>
          <w:color w:val="000000" w:themeColor="text1"/>
          <w:kern w:val="0"/>
          <w:sz w:val="32"/>
          <w:szCs w:val="32"/>
          <w:lang w:bidi="ar"/>
          <w14:textFill>
            <w14:solidFill>
              <w14:schemeClr w14:val="tx1"/>
            </w14:solidFill>
          </w14:textFill>
        </w:rPr>
        <w:t>吨</w:t>
      </w:r>
    </w:p>
    <w:p w14:paraId="00C3D090">
      <w:pPr>
        <w:spacing w:line="590" w:lineRule="exact"/>
        <w:ind w:firstLine="640" w:firstLineChars="200"/>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1.入库时间：在</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202</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5</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年</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10</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月</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25</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日前完成入库粮食</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2566</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吨</w:t>
      </w:r>
      <w:r>
        <w:rPr>
          <w:rFonts w:hint="eastAsia" w:ascii="方正仿宋_GBK" w:hAnsi="方正仿宋_GBK" w:eastAsia="方正仿宋_GBK" w:cs="方正仿宋_GBK"/>
          <w:color w:val="000000" w:themeColor="text1"/>
          <w:sz w:val="32"/>
          <w:szCs w:val="32"/>
          <w:u w:val="single"/>
          <w:lang w:eastAsia="zh-CN"/>
          <w14:textFill>
            <w14:solidFill>
              <w14:schemeClr w14:val="tx1"/>
            </w14:solidFill>
          </w14:textFill>
        </w:rPr>
        <w:t>、</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202</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5</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年</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11</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月</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20</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日前完成入库粮食</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累计5146</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吨</w:t>
      </w:r>
      <w:r>
        <w:rPr>
          <w:rFonts w:hint="eastAsia" w:ascii="方正仿宋_GBK" w:hAnsi="方正仿宋_GBK" w:eastAsia="方正仿宋_GBK" w:cs="方正仿宋_GBK"/>
          <w:color w:val="000000" w:themeColor="text1"/>
          <w:sz w:val="32"/>
          <w:szCs w:val="32"/>
          <w14:textFill>
            <w14:solidFill>
              <w14:schemeClr w14:val="tx1"/>
            </w14:solidFill>
          </w14:textFill>
        </w:rPr>
        <w:t>。具体仓号、数量以粮食入库后双方书面确认单为准。</w:t>
      </w:r>
    </w:p>
    <w:p w14:paraId="7324E4E6">
      <w:pPr>
        <w:tabs>
          <w:tab w:val="left" w:pos="1305"/>
        </w:tabs>
        <w:adjustRightInd w:val="0"/>
        <w:snapToGrid w:val="0"/>
        <w:spacing w:line="590" w:lineRule="exact"/>
        <w:ind w:right="630" w:rightChars="300" w:firstLine="640" w:firstLineChars="200"/>
        <w:rPr>
          <w:rFonts w:hint="eastAsia" w:ascii="方正仿宋_GBK" w:hAnsi="方正仿宋_GBK" w:eastAsia="方正仿宋_GBK" w:cs="方正仿宋_GBK"/>
          <w:color w:val="000000" w:themeColor="text1"/>
          <w:sz w:val="32"/>
          <w:szCs w:val="32"/>
          <w:u w:val="single"/>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2.交货地点：</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灌云县现代粮食储备有限公司</w:t>
      </w:r>
    </w:p>
    <w:p w14:paraId="696E3B6C">
      <w:pPr>
        <w:spacing w:line="590" w:lineRule="exact"/>
        <w:ind w:firstLine="640" w:firstLineChars="200"/>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3.入库价格：设定初始采购价为</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2620</w:t>
      </w:r>
      <w:r>
        <w:rPr>
          <w:rFonts w:hint="eastAsia" w:ascii="方正仿宋_GBK" w:hAnsi="方正仿宋_GBK" w:eastAsia="方正仿宋_GBK" w:cs="方正仿宋_GBK"/>
          <w:color w:val="000000" w:themeColor="text1"/>
          <w:sz w:val="32"/>
          <w:szCs w:val="32"/>
          <w14:textFill>
            <w14:solidFill>
              <w14:schemeClr w14:val="tx1"/>
            </w14:solidFill>
          </w14:textFill>
        </w:rPr>
        <w:t>元/吨（甲方散装自卸车板价）。为保证储备粮按时轮入和市场价接轨，允许入库价格根据市场价格进行调整，以甲方和中标方双方价格确认书为准，最终入库价格以单仓为单位，以单仓入库平均价格确定为入库价格。</w:t>
      </w:r>
    </w:p>
    <w:p w14:paraId="44EA8AF5">
      <w:pPr>
        <w:spacing w:line="590" w:lineRule="exact"/>
        <w:ind w:firstLine="640" w:firstLineChars="200"/>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4.入库方式：由乙方组织供货。</w:t>
      </w:r>
    </w:p>
    <w:p w14:paraId="2C8B0C9C">
      <w:pPr>
        <w:spacing w:line="590" w:lineRule="exact"/>
        <w:ind w:right="60" w:firstLine="640" w:firstLineChars="200"/>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5.入库质量要求：2025年度江苏产</w:t>
      </w:r>
      <w:r>
        <w:rPr>
          <w:rFonts w:hint="eastAsia" w:ascii="方正仿宋_GBK" w:hAnsi="方正仿宋_GBK" w:eastAsia="方正仿宋_GBK" w:cs="方正仿宋_GBK"/>
          <w:sz w:val="32"/>
          <w:szCs w:val="32"/>
          <w:lang w:val="en-US" w:eastAsia="zh-CN"/>
        </w:rPr>
        <w:t>中晚籼稻</w:t>
      </w:r>
      <w:r>
        <w:rPr>
          <w:rFonts w:hint="eastAsia" w:ascii="方正仿宋_GBK" w:hAnsi="方正仿宋_GBK" w:eastAsia="方正仿宋_GBK" w:cs="方正仿宋_GBK"/>
          <w:color w:val="000000" w:themeColor="text1"/>
          <w:sz w:val="32"/>
          <w:szCs w:val="32"/>
          <w14:textFill>
            <w14:solidFill>
              <w14:schemeClr w14:val="tx1"/>
            </w14:solidFill>
          </w14:textFill>
        </w:rPr>
        <w:t>，符合国标三等及以上标准，出米率≥66.0%；水分≤13.5%，水分&gt;14%拒收；杂质＜1.0%，杂质超标需整理除杂达到国家标准后计量入库，筛下物随车带回，杂质&gt;2.0%的拒收；色泽气味正常，其他质量指标达到国家规定中等标准以上；品质指标宜存，黄曲霉毒素B1＜10ug/kg，铅含量＜0.2mg/kg，镉含量＜0.2mg/kg，其他食品安全卫生指标符合国家食品卫生指标标准，无黄粒米。水杂升扣量按照相关文件执行，不符合质量指标的甲方有权拒收。扣价方法：以出米率66%为基准，每低0.5%扣价0.01元/500g，低不足0.5%不扣价，高于66%不增价。乙方供货的粮食不得为陈粮或其他储备轮换粮。</w:t>
      </w:r>
    </w:p>
    <w:p w14:paraId="0F10173E">
      <w:pPr>
        <w:spacing w:line="590" w:lineRule="exact"/>
        <w:ind w:firstLine="640" w:firstLineChars="200"/>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6.验收办法：</w:t>
      </w:r>
    </w:p>
    <w:p w14:paraId="77585F24">
      <w:pPr>
        <w:spacing w:line="590" w:lineRule="exact"/>
        <w:ind w:firstLine="640" w:firstLineChars="200"/>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（1）质量确认：入库时双方在交货地验质，如对检验方法、标准或质量结果有异议，可委托</w:t>
      </w:r>
      <w:r>
        <w:rPr>
          <w:rFonts w:hint="eastAsia" w:ascii="方正仿宋_GBK" w:hAnsi="方正仿宋_GBK" w:eastAsia="方正仿宋_GBK" w:cs="方正仿宋_GBK"/>
          <w:sz w:val="32"/>
          <w:szCs w:val="32"/>
        </w:rPr>
        <w:t>具有CMA质量认证资质的检验机构</w:t>
      </w:r>
      <w:r>
        <w:rPr>
          <w:rFonts w:hint="eastAsia" w:ascii="方正仿宋_GBK" w:hAnsi="方正仿宋_GBK" w:eastAsia="方正仿宋_GBK" w:cs="方正仿宋_GBK"/>
          <w:color w:val="000000" w:themeColor="text1"/>
          <w:sz w:val="32"/>
          <w:szCs w:val="32"/>
          <w14:textFill>
            <w14:solidFill>
              <w14:schemeClr w14:val="tx1"/>
            </w14:solidFill>
          </w14:textFill>
        </w:rPr>
        <w:t>检验，检验费用由异议提出方先行支付，异议成立的，最终由被异议方承担。</w:t>
      </w:r>
    </w:p>
    <w:p w14:paraId="1446DC12">
      <w:pPr>
        <w:spacing w:line="590" w:lineRule="exact"/>
        <w:ind w:firstLine="640" w:firstLineChars="200"/>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（2）数量确认：以交货库点地磅称重为准，乙方应当派人监磅，并对数量进行确认。</w:t>
      </w:r>
    </w:p>
    <w:p w14:paraId="7D7558E8">
      <w:pPr>
        <w:spacing w:line="590" w:lineRule="exact"/>
        <w:ind w:firstLine="640" w:firstLineChars="200"/>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（3）乙方如有数量、质量异议应在入库卸货前提出，逾期未提异议的视为交付合格。</w:t>
      </w:r>
    </w:p>
    <w:p w14:paraId="19E0A93B">
      <w:pPr>
        <w:spacing w:line="590" w:lineRule="exact"/>
        <w:ind w:firstLine="640" w:firstLineChars="200"/>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（4）粮食入库后，甲、乙双方须对入库粮食的存储仓号、数量、质量、价格等进行书面确认。</w:t>
      </w:r>
    </w:p>
    <w:p w14:paraId="5AC8F41B">
      <w:pPr>
        <w:spacing w:line="590" w:lineRule="exact"/>
        <w:ind w:firstLine="560"/>
        <w:jc w:val="left"/>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二、双方商定乙方回购事项</w:t>
      </w:r>
    </w:p>
    <w:p w14:paraId="6A498812">
      <w:pPr>
        <w:spacing w:line="590" w:lineRule="exact"/>
        <w:ind w:firstLine="560"/>
        <w:jc w:val="left"/>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1. 本次购销合作双向交易中，约定销售事项为乙方回购，乙方回购的粮食为本次采购的在未来时点轮出的粮食，回购粮食时间以甲方通知出库时间为准。具体回购时间为：</w:t>
      </w:r>
      <w:r>
        <w:rPr>
          <w:rFonts w:hint="eastAsia" w:ascii="方正仿宋_GBK" w:hAnsi="方正仿宋_GBK" w:eastAsia="方正仿宋_GBK" w:cs="方正仿宋_GBK"/>
          <w:sz w:val="32"/>
          <w:szCs w:val="32"/>
          <w:u w:val="single"/>
        </w:rPr>
        <w:t>202</w:t>
      </w:r>
      <w:r>
        <w:rPr>
          <w:rFonts w:hint="eastAsia" w:ascii="方正仿宋_GBK" w:hAnsi="方正仿宋_GBK" w:eastAsia="方正仿宋_GBK" w:cs="方正仿宋_GBK"/>
          <w:sz w:val="32"/>
          <w:szCs w:val="32"/>
          <w:u w:val="single"/>
          <w:lang w:val="en-US" w:eastAsia="zh-CN"/>
        </w:rPr>
        <w:t>6</w:t>
      </w:r>
      <w:r>
        <w:rPr>
          <w:rFonts w:hint="eastAsia" w:ascii="方正仿宋_GBK" w:hAnsi="方正仿宋_GBK" w:eastAsia="方正仿宋_GBK" w:cs="方正仿宋_GBK"/>
          <w:sz w:val="32"/>
          <w:szCs w:val="32"/>
          <w:u w:val="single"/>
        </w:rPr>
        <w:t>年</w:t>
      </w:r>
      <w:r>
        <w:rPr>
          <w:rFonts w:hint="eastAsia" w:ascii="方正仿宋_GBK" w:hAnsi="方正仿宋_GBK" w:eastAsia="方正仿宋_GBK" w:cs="方正仿宋_GBK"/>
          <w:sz w:val="32"/>
          <w:szCs w:val="32"/>
          <w:u w:val="single"/>
          <w:lang w:val="en-US" w:eastAsia="zh-CN"/>
        </w:rPr>
        <w:t>7</w:t>
      </w:r>
      <w:r>
        <w:rPr>
          <w:rFonts w:hint="eastAsia" w:ascii="方正仿宋_GBK" w:hAnsi="方正仿宋_GBK" w:eastAsia="方正仿宋_GBK" w:cs="方正仿宋_GBK"/>
          <w:sz w:val="32"/>
          <w:szCs w:val="32"/>
          <w:u w:val="single"/>
        </w:rPr>
        <w:t>-</w:t>
      </w:r>
      <w:r>
        <w:rPr>
          <w:rFonts w:hint="eastAsia" w:ascii="方正仿宋_GBK" w:hAnsi="方正仿宋_GBK" w:eastAsia="方正仿宋_GBK" w:cs="方正仿宋_GBK"/>
          <w:sz w:val="32"/>
          <w:szCs w:val="32"/>
          <w:u w:val="single"/>
          <w:lang w:val="en-US" w:eastAsia="zh-CN"/>
        </w:rPr>
        <w:t>9</w:t>
      </w:r>
      <w:r>
        <w:rPr>
          <w:rFonts w:hint="eastAsia" w:ascii="方正仿宋_GBK" w:hAnsi="方正仿宋_GBK" w:eastAsia="方正仿宋_GBK" w:cs="方正仿宋_GBK"/>
          <w:sz w:val="32"/>
          <w:szCs w:val="32"/>
          <w:u w:val="single"/>
        </w:rPr>
        <w:t>月</w:t>
      </w:r>
      <w:r>
        <w:rPr>
          <w:rFonts w:hint="eastAsia" w:ascii="方正仿宋_GBK" w:hAnsi="方正仿宋_GBK" w:eastAsia="方正仿宋_GBK" w:cs="方正仿宋_GBK"/>
          <w:sz w:val="32"/>
          <w:szCs w:val="32"/>
        </w:rPr>
        <w:t>出库</w:t>
      </w:r>
      <w:r>
        <w:rPr>
          <w:rFonts w:hint="eastAsia" w:ascii="方正仿宋_GBK" w:hAnsi="方正仿宋_GBK" w:eastAsia="方正仿宋_GBK" w:cs="方正仿宋_GBK"/>
          <w:sz w:val="32"/>
          <w:szCs w:val="32"/>
          <w:lang w:val="en-US" w:eastAsia="zh-CN"/>
        </w:rPr>
        <w:t>2566吨、</w:t>
      </w:r>
      <w:r>
        <w:rPr>
          <w:rFonts w:hint="eastAsia" w:ascii="方正仿宋_GBK" w:hAnsi="方正仿宋_GBK" w:eastAsia="方正仿宋_GBK" w:cs="方正仿宋_GBK"/>
          <w:sz w:val="32"/>
          <w:szCs w:val="32"/>
          <w:u w:val="single"/>
        </w:rPr>
        <w:t>202</w:t>
      </w:r>
      <w:r>
        <w:rPr>
          <w:rFonts w:hint="eastAsia" w:ascii="方正仿宋_GBK" w:hAnsi="方正仿宋_GBK" w:eastAsia="方正仿宋_GBK" w:cs="方正仿宋_GBK"/>
          <w:sz w:val="32"/>
          <w:szCs w:val="32"/>
          <w:u w:val="single"/>
          <w:lang w:val="en-US" w:eastAsia="zh-CN"/>
        </w:rPr>
        <w:t>7</w:t>
      </w:r>
      <w:r>
        <w:rPr>
          <w:rFonts w:hint="eastAsia" w:ascii="方正仿宋_GBK" w:hAnsi="方正仿宋_GBK" w:eastAsia="方正仿宋_GBK" w:cs="方正仿宋_GBK"/>
          <w:sz w:val="32"/>
          <w:szCs w:val="32"/>
          <w:u w:val="single"/>
        </w:rPr>
        <w:t>年</w:t>
      </w:r>
      <w:r>
        <w:rPr>
          <w:rFonts w:hint="eastAsia" w:ascii="方正仿宋_GBK" w:hAnsi="方正仿宋_GBK" w:eastAsia="方正仿宋_GBK" w:cs="方正仿宋_GBK"/>
          <w:sz w:val="32"/>
          <w:szCs w:val="32"/>
          <w:u w:val="single"/>
          <w:lang w:val="en-US" w:eastAsia="zh-CN"/>
        </w:rPr>
        <w:t>7</w:t>
      </w:r>
      <w:r>
        <w:rPr>
          <w:rFonts w:hint="eastAsia" w:ascii="方正仿宋_GBK" w:hAnsi="方正仿宋_GBK" w:eastAsia="方正仿宋_GBK" w:cs="方正仿宋_GBK"/>
          <w:sz w:val="32"/>
          <w:szCs w:val="32"/>
          <w:u w:val="single"/>
        </w:rPr>
        <w:t>-</w:t>
      </w:r>
      <w:r>
        <w:rPr>
          <w:rFonts w:hint="eastAsia" w:ascii="方正仿宋_GBK" w:hAnsi="方正仿宋_GBK" w:eastAsia="方正仿宋_GBK" w:cs="方正仿宋_GBK"/>
          <w:sz w:val="32"/>
          <w:szCs w:val="32"/>
          <w:u w:val="single"/>
          <w:lang w:val="en-US" w:eastAsia="zh-CN"/>
        </w:rPr>
        <w:t>9</w:t>
      </w:r>
      <w:r>
        <w:rPr>
          <w:rFonts w:hint="eastAsia" w:ascii="方正仿宋_GBK" w:hAnsi="方正仿宋_GBK" w:eastAsia="方正仿宋_GBK" w:cs="方正仿宋_GBK"/>
          <w:sz w:val="32"/>
          <w:szCs w:val="32"/>
          <w:u w:val="single"/>
        </w:rPr>
        <w:t>月</w:t>
      </w:r>
      <w:r>
        <w:rPr>
          <w:rFonts w:hint="eastAsia" w:ascii="方正仿宋_GBK" w:hAnsi="方正仿宋_GBK" w:eastAsia="方正仿宋_GBK" w:cs="方正仿宋_GBK"/>
          <w:sz w:val="32"/>
          <w:szCs w:val="32"/>
        </w:rPr>
        <w:t>出库</w:t>
      </w:r>
      <w:r>
        <w:rPr>
          <w:rFonts w:hint="eastAsia" w:ascii="方正仿宋_GBK" w:hAnsi="方正仿宋_GBK" w:eastAsia="方正仿宋_GBK" w:cs="方正仿宋_GBK"/>
          <w:sz w:val="32"/>
          <w:szCs w:val="32"/>
          <w:lang w:val="en-US" w:eastAsia="zh-CN"/>
        </w:rPr>
        <w:t>2580吨</w:t>
      </w:r>
      <w:r>
        <w:rPr>
          <w:rFonts w:hint="eastAsia" w:ascii="方正仿宋_GBK" w:hAnsi="方正仿宋_GBK" w:eastAsia="方正仿宋_GBK" w:cs="方正仿宋_GBK"/>
          <w:color w:val="000000" w:themeColor="text1"/>
          <w:sz w:val="32"/>
          <w:szCs w:val="32"/>
          <w14:textFill>
            <w14:solidFill>
              <w14:schemeClr w14:val="tx1"/>
            </w14:solidFill>
          </w14:textFill>
        </w:rPr>
        <w:t>（甲方按照省级储备粮月末库存不低于总量70%开展轮换实施。如合同中的储备粮被政府调用，本次购销合作双向交易中的销售合同终止履行，乙方不得强求甲方履行合同或要求甲方承担违约责任，乙方的权益按照“五、3”条款中内容补偿。）</w:t>
      </w:r>
    </w:p>
    <w:p w14:paraId="21F619B2">
      <w:pPr>
        <w:spacing w:line="590" w:lineRule="exact"/>
        <w:ind w:firstLine="560"/>
        <w:jc w:val="left"/>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2.根据竞价交易结果，在设定初始采购价</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2620</w:t>
      </w:r>
      <w:r>
        <w:rPr>
          <w:rFonts w:hint="eastAsia" w:ascii="方正仿宋_GBK" w:hAnsi="方正仿宋_GBK" w:eastAsia="方正仿宋_GBK" w:cs="方正仿宋_GBK"/>
          <w:color w:val="000000" w:themeColor="text1"/>
          <w:sz w:val="32"/>
          <w:szCs w:val="32"/>
          <w14:textFill>
            <w14:solidFill>
              <w14:schemeClr w14:val="tx1"/>
            </w14:solidFill>
          </w14:textFill>
        </w:rPr>
        <w:t>元/吨基础上的回购价格及价差，即</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仓库车板价</w:t>
      </w:r>
      <w:r>
        <w:rPr>
          <w:rFonts w:hint="eastAsia" w:ascii="方正仿宋_GBK" w:hAnsi="方正仿宋_GBK" w:eastAsia="方正仿宋_GBK" w:cs="方正仿宋_GBK"/>
          <w:color w:val="000000" w:themeColor="text1"/>
          <w:sz w:val="32"/>
          <w:szCs w:val="32"/>
          <w14:textFill>
            <w14:solidFill>
              <w14:schemeClr w14:val="tx1"/>
            </w14:solidFill>
          </w14:textFill>
        </w:rPr>
        <w:t>：</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w:t>
      </w:r>
      <w:r>
        <w:rPr>
          <w:rFonts w:hint="eastAsia" w:ascii="方正仿宋_GBK" w:hAnsi="方正仿宋_GBK" w:eastAsia="方正仿宋_GBK" w:cs="方正仿宋_GBK"/>
          <w:color w:val="000000" w:themeColor="text1"/>
          <w:sz w:val="32"/>
          <w:szCs w:val="32"/>
          <w14:textFill>
            <w14:solidFill>
              <w14:schemeClr w14:val="tx1"/>
            </w14:solidFill>
          </w14:textFill>
        </w:rPr>
        <w:t>元/吨（本处价格由竞价交易产生）。若实际入库价格调整，乙方回购的最终销售价=成交价-设定初始采购价+入库平均价格。(最终销售价高于成交价时，买卖双方签订补充协议，超出部分的货款在线下完成收付。）</w:t>
      </w:r>
    </w:p>
    <w:p w14:paraId="79447E81">
      <w:pPr>
        <w:spacing w:line="590" w:lineRule="exact"/>
        <w:ind w:firstLine="640" w:firstLineChars="200"/>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3.回购粮食数量以入库数量为准，以单个仓房为单位，双方按照保管账面数结算，合理损耗部分由乙方承担。</w:t>
      </w:r>
    </w:p>
    <w:p w14:paraId="53B60795">
      <w:pPr>
        <w:spacing w:line="590" w:lineRule="exact"/>
        <w:ind w:firstLine="640" w:firstLineChars="200"/>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4.回购粮食质量以在库粮食质量为准，甲方提供符合相关规定的检验报告。</w:t>
      </w:r>
    </w:p>
    <w:p w14:paraId="094DCE8D">
      <w:pPr>
        <w:spacing w:line="590" w:lineRule="exact"/>
        <w:ind w:firstLine="640" w:firstLineChars="200"/>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三、合同定金及保证金的支付与退还</w:t>
      </w:r>
    </w:p>
    <w:p w14:paraId="08F9AE86">
      <w:pPr>
        <w:spacing w:line="590" w:lineRule="exact"/>
        <w:ind w:firstLine="640" w:firstLineChars="200"/>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1.乙方除向江苏市场等第三方缴纳规定的交易保证金外，需先向甲方交纳合同定金100元/吨，定金交付后，交易系统内的购、销双向交易合同正式生效，该项定金适用于双倍罚则。</w:t>
      </w:r>
    </w:p>
    <w:p w14:paraId="6DA9001A">
      <w:pPr>
        <w:tabs>
          <w:tab w:val="left" w:pos="1305"/>
        </w:tabs>
        <w:adjustRightInd w:val="0"/>
        <w:snapToGrid w:val="0"/>
        <w:spacing w:line="590" w:lineRule="exact"/>
        <w:ind w:firstLine="640" w:firstLineChars="200"/>
        <w:rPr>
          <w:rFonts w:hint="eastAsia" w:ascii="方正仿宋_GBK" w:hAnsi="方正仿宋_GBK" w:eastAsia="方正仿宋_GBK" w:cs="方正仿宋_GBK"/>
          <w:color w:val="000000" w:themeColor="text1"/>
          <w:sz w:val="32"/>
          <w:szCs w:val="32"/>
          <w:highlight w:val="none"/>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2.乙方需按货款金额的10％向甲方缴纳风险保证金（包含乙方向省交易市场缴纳的销售交易保证金10元/吨）。甲方根据收购入库进度分批次收取风险保证金，合同定金可转为风险保证金。风险保证金不计利息，在乙方回购阶段以单仓为单位最后一批粮食出库后退回至乙方。</w:t>
      </w:r>
      <w:r>
        <w:rPr>
          <w:rFonts w:hint="eastAsia" w:ascii="方正仿宋_GBK" w:hAnsi="方正仿宋_GBK" w:eastAsia="方正仿宋_GBK" w:cs="方正仿宋_GBK"/>
          <w:color w:val="000000" w:themeColor="text1"/>
          <w:sz w:val="32"/>
          <w:szCs w:val="32"/>
          <w:highlight w:val="none"/>
          <w14:textFill>
            <w14:solidFill>
              <w14:schemeClr w14:val="tx1"/>
            </w14:solidFill>
          </w14:textFill>
        </w:rPr>
        <w:t>如</w:t>
      </w:r>
      <w:r>
        <w:rPr>
          <w:rFonts w:hint="eastAsia" w:ascii="方正仿宋_GBK" w:hAnsi="方正仿宋_GBK" w:eastAsia="方正仿宋_GBK" w:cs="方正仿宋_GBK"/>
          <w:color w:val="000000" w:themeColor="text1"/>
          <w:sz w:val="32"/>
          <w:szCs w:val="32"/>
          <w:highlight w:val="none"/>
          <w:lang w:val="en-US" w:eastAsia="zh-CN"/>
          <w14:textFill>
            <w14:solidFill>
              <w14:schemeClr w14:val="tx1"/>
            </w14:solidFill>
          </w14:textFill>
        </w:rPr>
        <w:t>中晚籼稻</w:t>
      </w:r>
      <w:r>
        <w:rPr>
          <w:rFonts w:hint="eastAsia" w:ascii="方正仿宋_GBK" w:hAnsi="方正仿宋_GBK" w:eastAsia="方正仿宋_GBK" w:cs="方正仿宋_GBK"/>
          <w:color w:val="000000" w:themeColor="text1"/>
          <w:sz w:val="32"/>
          <w:szCs w:val="32"/>
          <w:highlight w:val="none"/>
          <w14:textFill>
            <w14:solidFill>
              <w14:schemeClr w14:val="tx1"/>
            </w14:solidFill>
          </w14:textFill>
        </w:rPr>
        <w:t>市场价低于最低收购价，乙方需按甲方通知时间截止期内，及时补足保证金，否则视为乙方违约。</w:t>
      </w:r>
    </w:p>
    <w:p w14:paraId="0775D2D8">
      <w:pPr>
        <w:tabs>
          <w:tab w:val="left" w:pos="690"/>
        </w:tabs>
        <w:spacing w:line="590" w:lineRule="exact"/>
        <w:ind w:firstLine="640" w:firstLineChars="200"/>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3.采购合同项下，买卖双方自主交割，甲方在规定的合同入库期限（</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202</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5</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年</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11</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月</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20</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日前</w:t>
      </w:r>
      <w:r>
        <w:rPr>
          <w:rFonts w:hint="eastAsia" w:ascii="方正仿宋_GBK" w:hAnsi="方正仿宋_GBK" w:eastAsia="方正仿宋_GBK" w:cs="方正仿宋_GBK"/>
          <w:color w:val="000000" w:themeColor="text1"/>
          <w:sz w:val="32"/>
          <w:szCs w:val="32"/>
          <w14:textFill>
            <w14:solidFill>
              <w14:schemeClr w14:val="tx1"/>
            </w14:solidFill>
          </w14:textFill>
        </w:rPr>
        <w:t>）内按到货进度付款，采购合同交割期截止日以清单为准，采购合同完成率必须达到100%（允许误差以甲方与乙方签订的数量质量价格确认单为准），乙方需</w:t>
      </w:r>
      <w:bookmarkStart w:id="0" w:name="_GoBack"/>
      <w:bookmarkEnd w:id="0"/>
      <w:r>
        <w:rPr>
          <w:rFonts w:hint="eastAsia" w:ascii="方正仿宋_GBK" w:hAnsi="方正仿宋_GBK" w:eastAsia="方正仿宋_GBK" w:cs="方正仿宋_GBK"/>
          <w:color w:val="000000" w:themeColor="text1"/>
          <w:sz w:val="32"/>
          <w:szCs w:val="32"/>
          <w14:textFill>
            <w14:solidFill>
              <w14:schemeClr w14:val="tx1"/>
            </w14:solidFill>
          </w14:textFill>
        </w:rPr>
        <w:t>提供相应增值税发票后方可确认交易完成。双方交收完毕后江苏市场凭双方签订的采购确认单等有效文件清退定金。</w:t>
      </w:r>
    </w:p>
    <w:p w14:paraId="4E266370">
      <w:pPr>
        <w:tabs>
          <w:tab w:val="left" w:pos="690"/>
        </w:tabs>
        <w:spacing w:line="590" w:lineRule="exact"/>
        <w:ind w:firstLine="640" w:firstLineChars="200"/>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4.销售合同项下，在合同交割期内，乙方需将货款汇至江苏市场账户（与保证金账户一致）并在系统申请开具出库通知单，凭市场出库单及身份证明到甲方提货。销售粮食交收完毕，甲乙双方在系统签订“验收确认单”后，江苏市场退还乙方扣除手续费部分的保证金（与中标结果数量、价格差异部分由甲方与乙方按实结算）。</w:t>
      </w:r>
    </w:p>
    <w:p w14:paraId="31C197A8">
      <w:pPr>
        <w:spacing w:line="590" w:lineRule="exact"/>
        <w:ind w:firstLine="640" w:firstLineChars="200"/>
        <w:jc w:val="left"/>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四、费用结算和发票开具</w:t>
      </w:r>
    </w:p>
    <w:p w14:paraId="6AE3C4F2">
      <w:pPr>
        <w:spacing w:line="590" w:lineRule="exact"/>
        <w:ind w:firstLine="640" w:firstLineChars="200"/>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1.入库结算：甲方按照到货进度付款。乙方自行组织货源，乙方向甲方开具相应的增值税发票。</w:t>
      </w:r>
    </w:p>
    <w:p w14:paraId="3F076B9B">
      <w:pPr>
        <w:spacing w:line="590" w:lineRule="exact"/>
        <w:ind w:firstLine="640" w:firstLineChars="200"/>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2.销售结算：乙方根据甲方通知，先款后货，凭出库通知单提货，甲方向乙方开具相应的增值税发票。</w:t>
      </w:r>
    </w:p>
    <w:p w14:paraId="1AB7DE2C">
      <w:pPr>
        <w:spacing w:line="590" w:lineRule="exact"/>
        <w:ind w:firstLine="640" w:firstLineChars="200"/>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3.进出库费用：乙方组织进库时仓库散装车（船）板前费用由乙方承担（包括但不限于过筛费、扒车费、卸船费等）；出库时仓库散装车（船）板后费用由乙方承担。</w:t>
      </w:r>
    </w:p>
    <w:p w14:paraId="1AD2EEB1">
      <w:pPr>
        <w:tabs>
          <w:tab w:val="left" w:pos="1305"/>
        </w:tabs>
        <w:adjustRightInd w:val="0"/>
        <w:snapToGrid w:val="0"/>
        <w:spacing w:line="590" w:lineRule="exact"/>
        <w:ind w:firstLine="640" w:firstLineChars="200"/>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五、其他条款：</w:t>
      </w:r>
    </w:p>
    <w:p w14:paraId="291BB253">
      <w:pPr>
        <w:tabs>
          <w:tab w:val="left" w:pos="1305"/>
        </w:tabs>
        <w:adjustRightInd w:val="0"/>
        <w:snapToGrid w:val="0"/>
        <w:spacing w:line="590" w:lineRule="exact"/>
        <w:ind w:firstLine="640" w:firstLineChars="200"/>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1.乙方通过竞价交易的方式获得购销合作的权利，乙方按照甲方委托公告的要求参加竞价交易。本次购销双向交易采取以采竞销的交易方式。一次交易实现同一数量的地方储备粮（油）采购（轮入）和销售（轮出）。采购价格固定，竞价方只需对销售标的物的底价进行竞价，一旦竞价销售标的物竞价成交，则相对应的采购标的物同时成交，最终销售价以竞价交易确认的成交价为依据、并按本合同 “二、2”条款计算确认。</w:t>
      </w:r>
    </w:p>
    <w:p w14:paraId="2694F292">
      <w:pPr>
        <w:tabs>
          <w:tab w:val="left" w:pos="1305"/>
        </w:tabs>
        <w:adjustRightInd w:val="0"/>
        <w:snapToGrid w:val="0"/>
        <w:spacing w:line="590" w:lineRule="exact"/>
        <w:ind w:firstLine="640" w:firstLineChars="200"/>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 xml:space="preserve">2.竞价成功获得合作购销权利后，乙方需与甲方签订本合同，原则上7个工作日不签订本合同，认定为乙方竞价中标后违约。 </w:t>
      </w:r>
    </w:p>
    <w:p w14:paraId="3B2A8B67">
      <w:pPr>
        <w:spacing w:line="590" w:lineRule="exact"/>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b/>
          <w:bCs/>
          <w:color w:val="000000" w:themeColor="text1"/>
          <w:sz w:val="32"/>
          <w:szCs w:val="32"/>
          <w14:textFill>
            <w14:solidFill>
              <w14:schemeClr w14:val="tx1"/>
            </w14:solidFill>
          </w14:textFill>
        </w:rPr>
        <w:t xml:space="preserve">    </w:t>
      </w:r>
      <w:r>
        <w:rPr>
          <w:rFonts w:hint="eastAsia" w:ascii="方正仿宋_GBK" w:hAnsi="方正仿宋_GBK" w:eastAsia="方正仿宋_GBK" w:cs="方正仿宋_GBK"/>
          <w:color w:val="000000" w:themeColor="text1"/>
          <w:sz w:val="32"/>
          <w:szCs w:val="32"/>
          <w14:textFill>
            <w14:solidFill>
              <w14:schemeClr w14:val="tx1"/>
            </w14:solidFill>
          </w14:textFill>
        </w:rPr>
        <w:t>3.如遇政策调控，甲乙双方应无条件服从政府调控需要，互不承担违约责任。甲方按上级制定的调拨价格扣除相关税费后全额与乙方进行结算。</w:t>
      </w:r>
    </w:p>
    <w:p w14:paraId="6A32C961">
      <w:pPr>
        <w:spacing w:line="590" w:lineRule="exact"/>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 xml:space="preserve">   4.粮食入库后由甲方保管，并确保保管期间的入库粮食数量真实、质量良好。储存期间需符合地方储备粮管理规定，入库完毕后双方共同确认数量和质量。</w:t>
      </w:r>
    </w:p>
    <w:p w14:paraId="39647BB6">
      <w:pPr>
        <w:tabs>
          <w:tab w:val="left" w:pos="690"/>
        </w:tabs>
        <w:spacing w:line="590" w:lineRule="exact"/>
        <w:ind w:firstLine="640" w:firstLineChars="200"/>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5.该批粮食的实际水杂减量和保管损耗由乙方承担。提货时甲方每开一个仓，乙方必须在30日历日内提完，避免动仓后粮食质量下降。因乙方未按要求及时提货造成的粮食质量等损失均由乙方负全责。</w:t>
      </w:r>
    </w:p>
    <w:p w14:paraId="5EEAB70D">
      <w:pPr>
        <w:tabs>
          <w:tab w:val="left" w:pos="690"/>
        </w:tabs>
        <w:spacing w:line="590" w:lineRule="exact"/>
        <w:ind w:firstLine="640" w:firstLineChars="200"/>
        <w:jc w:val="left"/>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6.涉及储备粮业务的各项补贴与乙方无关。</w:t>
      </w:r>
    </w:p>
    <w:p w14:paraId="6D7D67EE">
      <w:pPr>
        <w:spacing w:line="590" w:lineRule="exact"/>
        <w:ind w:firstLine="640" w:firstLineChars="200"/>
        <w:jc w:val="left"/>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六、违约责任</w:t>
      </w:r>
    </w:p>
    <w:p w14:paraId="7F08F91D">
      <w:pPr>
        <w:spacing w:line="590" w:lineRule="exact"/>
        <w:ind w:firstLine="640" w:firstLineChars="200"/>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1.乙方不能按合同时间、数量和质量送达，影响甲方储备入库计划，按违约处理，乙方保证金归甲方所有，合同终止。</w:t>
      </w:r>
    </w:p>
    <w:p w14:paraId="1649BDDB">
      <w:pPr>
        <w:spacing w:line="590" w:lineRule="exact"/>
        <w:ind w:firstLine="640" w:firstLineChars="200"/>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2.如乙方逾期未提清约定数量且未协商一致，则视作乙方违约，乙方需支付给甲方总货款20%的违约金，未提数量甲方不再销售给乙方，而由甲方另行销售，货款用于偿还甲方前期购粮款及因乙方违约造成的损失，不足部分甲方保留向乙方追讨补足价差的权利。</w:t>
      </w:r>
    </w:p>
    <w:p w14:paraId="260538D3">
      <w:pPr>
        <w:spacing w:line="590" w:lineRule="exact"/>
        <w:ind w:firstLine="640" w:firstLineChars="200"/>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七、合同履约结束后，双方无任何经济纠纷，甲方应及时退还乙方尚未冲抵的风险保证金。</w:t>
      </w:r>
    </w:p>
    <w:p w14:paraId="3161CE52">
      <w:pPr>
        <w:tabs>
          <w:tab w:val="left" w:pos="690"/>
        </w:tabs>
        <w:spacing w:line="590" w:lineRule="exact"/>
        <w:ind w:firstLine="640" w:firstLineChars="200"/>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八、解决纠纷的方式：协商解决或按《民法典》通过法律程序解决。出现合同纠纷和未尽事宜，双方可协商，签订补充协议，补充协议与本协议具有同等法律效力，不能协商一致，可向甲方所在地人民法院起诉。</w:t>
      </w:r>
    </w:p>
    <w:p w14:paraId="1034E733">
      <w:pPr>
        <w:tabs>
          <w:tab w:val="left" w:pos="690"/>
        </w:tabs>
        <w:spacing w:line="590" w:lineRule="exact"/>
        <w:ind w:firstLine="640" w:firstLineChars="200"/>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九、本合同一式两份，乙方按第三条约定将风险保证金付至甲方账户后生效，本合同有效期至出库结束止。本合同相关传真件视同原件，传真件与原件不符的，以原件为准。</w:t>
      </w:r>
    </w:p>
    <w:p w14:paraId="589646F9">
      <w:pPr>
        <w:tabs>
          <w:tab w:val="left" w:pos="690"/>
        </w:tabs>
        <w:spacing w:line="590" w:lineRule="exact"/>
        <w:rPr>
          <w:rFonts w:hint="eastAsia" w:ascii="方正仿宋_GBK" w:hAnsi="方正仿宋_GBK" w:eastAsia="方正仿宋_GBK" w:cs="方正仿宋_GBK"/>
          <w:color w:val="000000" w:themeColor="text1"/>
          <w:sz w:val="32"/>
          <w:szCs w:val="32"/>
          <w14:textFill>
            <w14:solidFill>
              <w14:schemeClr w14:val="tx1"/>
            </w14:solidFill>
          </w14:textFill>
        </w:rPr>
      </w:pPr>
    </w:p>
    <w:p w14:paraId="182DA82F">
      <w:pPr>
        <w:tabs>
          <w:tab w:val="left" w:pos="690"/>
        </w:tabs>
        <w:spacing w:line="590" w:lineRule="exact"/>
        <w:ind w:firstLine="640" w:firstLineChars="200"/>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（以下无正文）</w:t>
      </w:r>
    </w:p>
    <w:p w14:paraId="2A99D1DE">
      <w:pPr>
        <w:tabs>
          <w:tab w:val="left" w:pos="690"/>
        </w:tabs>
        <w:spacing w:line="590" w:lineRule="exact"/>
        <w:rPr>
          <w:rFonts w:hint="eastAsia" w:ascii="方正仿宋_GBK" w:hAnsi="方正仿宋_GBK" w:eastAsia="方正仿宋_GBK" w:cs="方正仿宋_GBK"/>
          <w:color w:val="000000" w:themeColor="text1"/>
          <w:sz w:val="32"/>
          <w:szCs w:val="32"/>
          <w14:textFill>
            <w14:solidFill>
              <w14:schemeClr w14:val="tx1"/>
            </w14:solidFill>
          </w14:textFill>
        </w:rPr>
      </w:pPr>
    </w:p>
    <w:p w14:paraId="01A1F8AB">
      <w:pPr>
        <w:tabs>
          <w:tab w:val="left" w:pos="690"/>
        </w:tabs>
        <w:spacing w:line="590" w:lineRule="exact"/>
        <w:rPr>
          <w:rFonts w:hint="eastAsia" w:ascii="方正仿宋_GBK" w:hAnsi="方正仿宋_GBK" w:eastAsia="方正仿宋_GBK" w:cs="方正仿宋_GBK"/>
          <w:color w:val="000000" w:themeColor="text1"/>
          <w:sz w:val="32"/>
          <w:szCs w:val="32"/>
          <w14:textFill>
            <w14:solidFill>
              <w14:schemeClr w14:val="tx1"/>
            </w14:solidFill>
          </w14:textFill>
        </w:rPr>
      </w:pPr>
    </w:p>
    <w:p w14:paraId="32B50CE3">
      <w:pPr>
        <w:tabs>
          <w:tab w:val="left" w:pos="690"/>
        </w:tabs>
        <w:spacing w:line="590" w:lineRule="exact"/>
        <w:rPr>
          <w:rFonts w:hint="eastAsia" w:ascii="方正仿宋_GBK" w:hAnsi="方正仿宋_GBK" w:eastAsia="方正仿宋_GBK" w:cs="方正仿宋_GBK"/>
          <w:color w:val="000000" w:themeColor="text1"/>
          <w:sz w:val="32"/>
          <w:szCs w:val="32"/>
          <w14:textFill>
            <w14:solidFill>
              <w14:schemeClr w14:val="tx1"/>
            </w14:solidFill>
          </w14:textFill>
        </w:rPr>
      </w:pPr>
    </w:p>
    <w:p w14:paraId="1B40EF2A">
      <w:pPr>
        <w:tabs>
          <w:tab w:val="left" w:pos="690"/>
        </w:tabs>
        <w:spacing w:line="590" w:lineRule="exact"/>
        <w:rPr>
          <w:rFonts w:hint="eastAsia" w:ascii="方正仿宋_GBK" w:hAnsi="方正仿宋_GBK" w:eastAsia="方正仿宋_GBK" w:cs="方正仿宋_GBK"/>
          <w:color w:val="000000" w:themeColor="text1"/>
          <w:sz w:val="32"/>
          <w:szCs w:val="32"/>
          <w14:textFill>
            <w14:solidFill>
              <w14:schemeClr w14:val="tx1"/>
            </w14:solidFill>
          </w14:textFill>
        </w:rPr>
      </w:pPr>
    </w:p>
    <w:p w14:paraId="6A14ED5D">
      <w:pPr>
        <w:spacing w:line="590" w:lineRule="exact"/>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themeColor="text1"/>
          <w:sz w:val="32"/>
          <w:szCs w:val="32"/>
          <w14:textFill>
            <w14:solidFill>
              <w14:schemeClr w14:val="tx1"/>
            </w14:solidFill>
          </w14:textFill>
        </w:rPr>
        <w:t>甲  方：</w:t>
      </w:r>
      <w:r>
        <w:rPr>
          <w:rFonts w:hint="eastAsia" w:ascii="方正仿宋_GBK" w:hAnsi="方正仿宋_GBK" w:eastAsia="方正仿宋_GBK" w:cs="方正仿宋_GBK"/>
          <w:w w:val="85"/>
          <w:sz w:val="32"/>
          <w:szCs w:val="32"/>
        </w:rPr>
        <w:t xml:space="preserve">               </w:t>
      </w:r>
      <w:r>
        <w:rPr>
          <w:rFonts w:hint="eastAsia" w:ascii="方正仿宋_GBK" w:hAnsi="方正仿宋_GBK" w:eastAsia="方正仿宋_GBK" w:cs="方正仿宋_GBK"/>
          <w:w w:val="85"/>
          <w:sz w:val="32"/>
          <w:szCs w:val="32"/>
          <w:lang w:val="en-US" w:eastAsia="zh-CN"/>
        </w:rPr>
        <w:t xml:space="preserve">           </w:t>
      </w:r>
      <w:r>
        <w:rPr>
          <w:rFonts w:hint="eastAsia" w:ascii="方正仿宋_GBK" w:hAnsi="方正仿宋_GBK" w:eastAsia="方正仿宋_GBK" w:cs="方正仿宋_GBK"/>
          <w:sz w:val="32"/>
          <w:szCs w:val="32"/>
        </w:rPr>
        <w:t>乙  方：</w:t>
      </w:r>
    </w:p>
    <w:p w14:paraId="4E215D7F">
      <w:pPr>
        <w:spacing w:line="590" w:lineRule="exact"/>
        <w:rPr>
          <w:rFonts w:hint="eastAsia" w:ascii="方正仿宋_GBK" w:hAnsi="方正仿宋_GBK" w:eastAsia="方正仿宋_GBK" w:cs="方正仿宋_GBK"/>
          <w:color w:val="000000" w:themeColor="text1"/>
          <w:w w:val="90"/>
          <w:sz w:val="32"/>
          <w:szCs w:val="32"/>
          <w:lang w:val="en-US" w:eastAsia="zh-CN"/>
          <w14:textFill>
            <w14:solidFill>
              <w14:schemeClr w14:val="tx1"/>
            </w14:solidFill>
          </w14:textFill>
        </w:rPr>
      </w:pPr>
      <w:r>
        <w:rPr>
          <w:rFonts w:hint="eastAsia" w:ascii="方正仿宋_GBK" w:hAnsi="方正仿宋_GBK" w:eastAsia="方正仿宋_GBK" w:cs="方正仿宋_GBK"/>
          <w:color w:val="000000" w:themeColor="text1"/>
          <w:w w:val="100"/>
          <w:sz w:val="32"/>
          <w:szCs w:val="32"/>
          <w14:textFill>
            <w14:solidFill>
              <w14:schemeClr w14:val="tx1"/>
            </w14:solidFill>
          </w14:textFill>
        </w:rPr>
        <w:t>灌云县现代粮食储备有限公司</w:t>
      </w:r>
      <w:r>
        <w:rPr>
          <w:rFonts w:hint="eastAsia" w:ascii="方正仿宋_GBK" w:hAnsi="方正仿宋_GBK" w:eastAsia="方正仿宋_GBK" w:cs="方正仿宋_GBK"/>
          <w:color w:val="000000" w:themeColor="text1"/>
          <w:w w:val="100"/>
          <w:sz w:val="32"/>
          <w:szCs w:val="32"/>
          <w:lang w:val="en-US" w:eastAsia="zh-CN"/>
          <w14:textFill>
            <w14:solidFill>
              <w14:schemeClr w14:val="tx1"/>
            </w14:solidFill>
          </w14:textFill>
        </w:rPr>
        <w:t xml:space="preserve"> </w:t>
      </w:r>
      <w:r>
        <w:rPr>
          <w:rFonts w:hint="eastAsia" w:ascii="方正仿宋_GBK" w:hAnsi="方正仿宋_GBK" w:eastAsia="方正仿宋_GBK" w:cs="方正仿宋_GBK"/>
          <w:color w:val="000000" w:themeColor="text1"/>
          <w:w w:val="90"/>
          <w:sz w:val="32"/>
          <w:szCs w:val="32"/>
          <w:lang w:val="en-US" w:eastAsia="zh-CN"/>
          <w14:textFill>
            <w14:solidFill>
              <w14:schemeClr w14:val="tx1"/>
            </w14:solidFill>
          </w14:textFill>
        </w:rPr>
        <w:t xml:space="preserve"> </w:t>
      </w:r>
    </w:p>
    <w:p w14:paraId="028692FA">
      <w:pPr>
        <w:spacing w:line="590" w:lineRule="exact"/>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themeColor="text1"/>
          <w:sz w:val="32"/>
          <w:szCs w:val="32"/>
          <w14:textFill>
            <w14:solidFill>
              <w14:schemeClr w14:val="tx1"/>
            </w14:solidFill>
          </w14:textFill>
        </w:rPr>
        <w:t xml:space="preserve">法人代表（委托人）：         </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 xml:space="preserve">  </w:t>
      </w:r>
      <w:r>
        <w:rPr>
          <w:rFonts w:hint="eastAsia" w:ascii="方正仿宋_GBK" w:hAnsi="方正仿宋_GBK" w:eastAsia="方正仿宋_GBK" w:cs="方正仿宋_GBK"/>
          <w:sz w:val="32"/>
          <w:szCs w:val="32"/>
        </w:rPr>
        <w:t>法人代表（委托人）：</w:t>
      </w:r>
    </w:p>
    <w:p w14:paraId="7FC12B87">
      <w:pPr>
        <w:spacing w:line="590" w:lineRule="exact"/>
        <w:rPr>
          <w:rFonts w:hint="eastAsia" w:ascii="方正仿宋_GBK" w:hAnsi="方正仿宋_GBK" w:eastAsia="方正仿宋_GBK" w:cs="方正仿宋_GBK"/>
          <w:sz w:val="32"/>
          <w:szCs w:val="32"/>
        </w:rPr>
      </w:pPr>
    </w:p>
    <w:p w14:paraId="30AFC86A">
      <w:pPr>
        <w:spacing w:line="590" w:lineRule="exact"/>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themeColor="text1"/>
          <w:sz w:val="32"/>
          <w:szCs w:val="32"/>
          <w14:textFill>
            <w14:solidFill>
              <w14:schemeClr w14:val="tx1"/>
            </w14:solidFill>
          </w14:textFill>
        </w:rPr>
        <w:t xml:space="preserve">日    期：                   </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 xml:space="preserve"> </w:t>
      </w:r>
      <w:r>
        <w:rPr>
          <w:rFonts w:hint="eastAsia" w:ascii="方正仿宋_GBK" w:hAnsi="方正仿宋_GBK" w:eastAsia="方正仿宋_GBK" w:cs="方正仿宋_GBK"/>
          <w:color w:val="000000" w:themeColor="text1"/>
          <w:sz w:val="32"/>
          <w:szCs w:val="32"/>
          <w14:textFill>
            <w14:solidFill>
              <w14:schemeClr w14:val="tx1"/>
            </w14:solidFill>
          </w14:textFill>
        </w:rPr>
        <w:t xml:space="preserve">日   期：            </w:t>
      </w:r>
    </w:p>
    <w:sectPr>
      <w:headerReference r:id="rId3" w:type="default"/>
      <w:footerReference r:id="rId4" w:type="default"/>
      <w:pgSz w:w="11906" w:h="16838"/>
      <w:pgMar w:top="1984" w:right="1531" w:bottom="1701" w:left="1531"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812605">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9E1DBB">
                          <w:pPr>
                            <w:pStyle w:val="2"/>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609E1DBB">
                    <w:pPr>
                      <w:pStyle w:val="2"/>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E86BC1">
    <w:pPr>
      <w:pStyle w:val="3"/>
    </w:pPr>
    <w:r>
      <w:pict>
        <v:shape id="PowerPlusWaterMarkObject14127" o:spid="_x0000_s3074" o:spt="136" type="#_x0000_t136" style="position:absolute;left:0pt;height:48.3pt;width:593.6pt;mso-position-horizontal:center;mso-position-horizontal-relative:margin;mso-position-vertical:center;mso-position-vertical-relative:margin;rotation:-2949120f;z-index:-251656192;mso-width-relative:page;mso-height-relative:page;" fillcolor="#C0C0C0" filled="t" stroked="f" coordsize="21600,21600">
          <v:path/>
          <v:fill on="t" opacity="48496f" focussize="0,0"/>
          <v:stroke on="f"/>
          <v:imagedata o:title=""/>
          <o:lock v:ext="edit" aspectratio="t"/>
          <v:textpath on="t" fitshape="t" fitpath="t" trim="t" xscale="f" string="江苏省储备粮管理集团有限公司" style="font-family:方正黑体_GBK;font-size:48pt;v-text-align:center;"/>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A1M2M2YTM0NTUyM2JhZmE0ODhkYWM1Y2YzOTJkZGUifQ=="/>
  </w:docVars>
  <w:rsids>
    <w:rsidRoot w:val="71AD454A"/>
    <w:rsid w:val="000B7DA5"/>
    <w:rsid w:val="0016066C"/>
    <w:rsid w:val="003023EB"/>
    <w:rsid w:val="007F2F24"/>
    <w:rsid w:val="00921546"/>
    <w:rsid w:val="00DB6652"/>
    <w:rsid w:val="01DE54E7"/>
    <w:rsid w:val="04D02DC9"/>
    <w:rsid w:val="08B17BE1"/>
    <w:rsid w:val="0D374B59"/>
    <w:rsid w:val="0EE627B3"/>
    <w:rsid w:val="10056FF4"/>
    <w:rsid w:val="14FD61B8"/>
    <w:rsid w:val="150834D9"/>
    <w:rsid w:val="151C1A86"/>
    <w:rsid w:val="162D6610"/>
    <w:rsid w:val="16B971D4"/>
    <w:rsid w:val="190F182C"/>
    <w:rsid w:val="19230693"/>
    <w:rsid w:val="1A5A4A24"/>
    <w:rsid w:val="1AC468C5"/>
    <w:rsid w:val="1DF354F9"/>
    <w:rsid w:val="1EE91A2B"/>
    <w:rsid w:val="21797DFE"/>
    <w:rsid w:val="233E1774"/>
    <w:rsid w:val="23E17175"/>
    <w:rsid w:val="2401791F"/>
    <w:rsid w:val="241237D2"/>
    <w:rsid w:val="24AC5A60"/>
    <w:rsid w:val="25390F06"/>
    <w:rsid w:val="25E24C21"/>
    <w:rsid w:val="266F4A43"/>
    <w:rsid w:val="287F5006"/>
    <w:rsid w:val="2A765AFE"/>
    <w:rsid w:val="2B2F1F8C"/>
    <w:rsid w:val="2C795659"/>
    <w:rsid w:val="2F396F9D"/>
    <w:rsid w:val="35037C10"/>
    <w:rsid w:val="376C44CF"/>
    <w:rsid w:val="3AAB444D"/>
    <w:rsid w:val="3E332998"/>
    <w:rsid w:val="3F310B59"/>
    <w:rsid w:val="402A08D4"/>
    <w:rsid w:val="41E47133"/>
    <w:rsid w:val="423A7F87"/>
    <w:rsid w:val="42C421ED"/>
    <w:rsid w:val="446E63AB"/>
    <w:rsid w:val="4573721F"/>
    <w:rsid w:val="499A3100"/>
    <w:rsid w:val="4A1A55A7"/>
    <w:rsid w:val="4A35262C"/>
    <w:rsid w:val="4B187071"/>
    <w:rsid w:val="4B8B7414"/>
    <w:rsid w:val="4BF227C7"/>
    <w:rsid w:val="4C3A6B73"/>
    <w:rsid w:val="4DDB2DFD"/>
    <w:rsid w:val="4F7660B5"/>
    <w:rsid w:val="507B7A27"/>
    <w:rsid w:val="52336645"/>
    <w:rsid w:val="54CD1014"/>
    <w:rsid w:val="56851A91"/>
    <w:rsid w:val="58861E86"/>
    <w:rsid w:val="5CF558BC"/>
    <w:rsid w:val="63A63622"/>
    <w:rsid w:val="646D0477"/>
    <w:rsid w:val="65586590"/>
    <w:rsid w:val="674C3ED2"/>
    <w:rsid w:val="69BE6E1B"/>
    <w:rsid w:val="6C6B706C"/>
    <w:rsid w:val="6FAB7D47"/>
    <w:rsid w:val="70150C49"/>
    <w:rsid w:val="71AD454A"/>
    <w:rsid w:val="72CE60E3"/>
    <w:rsid w:val="72DF173B"/>
    <w:rsid w:val="72E15E16"/>
    <w:rsid w:val="745B71A3"/>
    <w:rsid w:val="74E8455B"/>
    <w:rsid w:val="75FE6CDF"/>
    <w:rsid w:val="76AA3924"/>
    <w:rsid w:val="77C632D1"/>
    <w:rsid w:val="7D030039"/>
    <w:rsid w:val="7D605698"/>
    <w:rsid w:val="7D9C5C6B"/>
    <w:rsid w:val="7EF70CB6"/>
    <w:rsid w:val="7F3612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customStyle="1" w:styleId="6">
    <w:name w:val="Revision"/>
    <w:hidden/>
    <w:unhideWhenUsed/>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4"/>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2949</Words>
  <Characters>3135</Characters>
  <Lines>71</Lines>
  <Paragraphs>49</Paragraphs>
  <TotalTime>1</TotalTime>
  <ScaleCrop>false</ScaleCrop>
  <LinksUpToDate>false</LinksUpToDate>
  <CharactersWithSpaces>3280</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2024-10-12T04:39:00Z</dcterms:created>
  <dc:creator>无双</dc:creator>
  <cp:lastModifiedBy>kkkitty</cp:lastModifiedBy>
  <dcterms:modified xsi:type="dcterms:W3CDTF">2025-10-10T03:45:27Z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9009FD2B456E4E44BB908C306870D65B_13</vt:lpwstr>
  </property>
  <property fmtid="{D5CDD505-2E9C-101B-9397-08002B2CF9AE}" pid="4" name="KSOTemplateDocerSaveRecord">
    <vt:lpwstr>eyJoZGlkIjoiMjE5OThhN2JlN2NhZDcxMTRiNDRkZmVhMGMwN2M5ZjciLCJ1c2VySWQiOiI5ODMwODkwNjcifQ==</vt:lpwstr>
  </property>
</Properties>
</file>