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C60BB">
      <w:pPr>
        <w:spacing w:line="408" w:lineRule="auto"/>
        <w:ind w:firstLine="2209" w:firstLineChars="500"/>
        <w:jc w:val="left"/>
        <w:rPr>
          <w:rFonts w:ascii="宋体" w:hAnsi="宋体" w:cs="宋体"/>
          <w:b/>
          <w:bCs/>
          <w:sz w:val="44"/>
          <w:szCs w:val="44"/>
        </w:rPr>
      </w:pPr>
      <w:r>
        <w:rPr>
          <w:rFonts w:hint="eastAsia" w:ascii="宋体" w:hAnsi="宋体" w:cs="宋体"/>
          <w:b/>
          <w:bCs/>
          <w:color w:val="auto"/>
          <w:sz w:val="44"/>
          <w:szCs w:val="44"/>
          <w:lang w:val="en-US" w:eastAsia="zh-CN"/>
        </w:rPr>
        <w:t>稻谷</w:t>
      </w:r>
      <w:r>
        <w:rPr>
          <w:rFonts w:hint="eastAsia" w:ascii="宋体" w:hAnsi="宋体" w:cs="宋体"/>
          <w:b/>
          <w:bCs/>
          <w:color w:val="auto"/>
          <w:sz w:val="44"/>
          <w:szCs w:val="44"/>
        </w:rPr>
        <w:t>购销合作合同</w:t>
      </w:r>
      <w:r>
        <w:rPr>
          <w:rFonts w:ascii="宋体" w:hAnsi="宋体" w:cs="宋体"/>
          <w:b/>
          <w:bCs/>
          <w:sz w:val="44"/>
          <w:szCs w:val="44"/>
        </w:rPr>
        <w:t xml:space="preserve">               </w:t>
      </w:r>
    </w:p>
    <w:p w14:paraId="1A01D182">
      <w:pPr>
        <w:spacing w:line="408" w:lineRule="auto"/>
        <w:jc w:val="left"/>
        <w:rPr>
          <w:rFonts w:hint="default" w:ascii="方正仿宋_GBK" w:hAnsi="方正仿宋_GBK" w:eastAsia="仿宋" w:cs="方正仿宋_GBK"/>
          <w:sz w:val="32"/>
          <w:szCs w:val="32"/>
          <w:lang w:val="en-US" w:eastAsia="zh-CN"/>
        </w:rPr>
      </w:pPr>
      <w:r>
        <w:rPr>
          <w:rFonts w:hint="eastAsia" w:ascii="宋体" w:hAnsi="宋体" w:eastAsia="方正仿宋_GBK" w:cs="宋体"/>
          <w:b/>
          <w:bCs/>
          <w:sz w:val="44"/>
          <w:szCs w:val="44"/>
          <w:lang w:val="en-US" w:eastAsia="zh-CN"/>
        </w:rPr>
        <w:t xml:space="preserve">                 </w:t>
      </w:r>
      <w:r>
        <w:rPr>
          <w:rFonts w:hint="eastAsia" w:ascii="方正仿宋_GBK" w:hAnsi="方正仿宋_GBK" w:eastAsia="方正仿宋_GBK" w:cs="方正仿宋_GBK"/>
          <w:sz w:val="32"/>
          <w:szCs w:val="32"/>
        </w:rPr>
        <w:t>合同号：</w:t>
      </w:r>
      <w:r>
        <w:rPr>
          <w:rFonts w:hint="eastAsia" w:ascii="仿宋" w:hAnsi="仿宋" w:eastAsia="仿宋" w:cs="宋体"/>
          <w:color w:val="auto"/>
          <w:sz w:val="32"/>
          <w:szCs w:val="32"/>
        </w:rPr>
        <w:t>SCBLDG202</w:t>
      </w:r>
      <w:r>
        <w:rPr>
          <w:rFonts w:hint="eastAsia" w:ascii="仿宋" w:hAnsi="仿宋" w:eastAsia="仿宋" w:cs="宋体"/>
          <w:color w:val="auto"/>
          <w:sz w:val="32"/>
          <w:szCs w:val="32"/>
          <w:lang w:val="en-US" w:eastAsia="zh-CN"/>
        </w:rPr>
        <w:t>501</w:t>
      </w:r>
      <w:r>
        <w:rPr>
          <w:rFonts w:hint="eastAsia" w:ascii="仿宋" w:hAnsi="仿宋" w:eastAsia="仿宋" w:cs="仿宋"/>
          <w:color w:val="auto"/>
          <w:sz w:val="32"/>
          <w:szCs w:val="32"/>
          <w:lang w:val="en-US" w:eastAsia="zh-CN"/>
        </w:rPr>
        <w:t>**</w:t>
      </w:r>
      <w:r>
        <w:rPr>
          <w:rFonts w:hint="eastAsia" w:ascii="仿宋" w:hAnsi="仿宋" w:eastAsia="仿宋" w:cs="宋体"/>
          <w:color w:val="auto"/>
          <w:sz w:val="32"/>
          <w:szCs w:val="32"/>
          <w:lang w:val="en-US" w:eastAsia="zh-CN"/>
        </w:rPr>
        <w:t>-0</w:t>
      </w:r>
      <w:r>
        <w:rPr>
          <w:rFonts w:hint="eastAsia" w:ascii="仿宋" w:hAnsi="仿宋" w:eastAsia="仿宋" w:cs="仿宋"/>
          <w:color w:val="auto"/>
          <w:sz w:val="32"/>
          <w:szCs w:val="32"/>
          <w:lang w:val="en-US" w:eastAsia="zh-CN"/>
        </w:rPr>
        <w:t>*</w:t>
      </w:r>
    </w:p>
    <w:p w14:paraId="3722A48B">
      <w:pPr>
        <w:keepNext w:val="0"/>
        <w:keepLines w:val="0"/>
        <w:pageBreakBefore w:val="0"/>
        <w:widowControl/>
        <w:kinsoku/>
        <w:wordWrap/>
        <w:overflowPunct/>
        <w:topLinePunct w:val="0"/>
        <w:autoSpaceDE/>
        <w:autoSpaceDN/>
        <w:bidi w:val="0"/>
        <w:spacing w:line="590" w:lineRule="exact"/>
        <w:jc w:val="left"/>
        <w:textAlignment w:val="auto"/>
        <w:rPr>
          <w:rFonts w:hint="eastAsia" w:ascii="方正仿宋_GBK" w:hAnsi="方正仿宋_GBK" w:eastAsia="方正仿宋_GBK" w:cs="方正仿宋_GBK"/>
          <w:sz w:val="32"/>
          <w:szCs w:val="32"/>
          <w:u w:val="single"/>
        </w:rPr>
      </w:pPr>
      <w:r>
        <w:rPr>
          <w:rFonts w:hint="eastAsia" w:ascii="方正仿宋_GBK" w:hAnsi="方正仿宋_GBK" w:eastAsia="方正仿宋_GBK" w:cs="方正仿宋_GBK"/>
          <w:color w:val="000000"/>
          <w:kern w:val="0"/>
          <w:sz w:val="32"/>
          <w:szCs w:val="32"/>
          <w:lang w:bidi="ar"/>
        </w:rPr>
        <w:t>甲方1 ：</w:t>
      </w:r>
      <w:r>
        <w:rPr>
          <w:rFonts w:hint="eastAsia" w:ascii="方正仿宋_GBK" w:hAnsi="方正仿宋_GBK" w:eastAsia="方正仿宋_GBK" w:cs="方正仿宋_GBK"/>
          <w:color w:val="000000"/>
          <w:kern w:val="0"/>
          <w:sz w:val="32"/>
          <w:szCs w:val="32"/>
          <w:u w:val="single"/>
          <w:lang w:bidi="ar"/>
        </w:rPr>
        <w:t xml:space="preserve">江苏省储备粮管理有限公司 </w:t>
      </w:r>
      <w:r>
        <w:rPr>
          <w:rFonts w:hint="eastAsia" w:ascii="方正仿宋_GBK" w:hAnsi="方正仿宋_GBK" w:eastAsia="方正仿宋_GBK" w:cs="方正仿宋_GBK"/>
          <w:sz w:val="32"/>
          <w:szCs w:val="32"/>
          <w:u w:val="single"/>
        </w:rPr>
        <w:t xml:space="preserve"> </w:t>
      </w:r>
    </w:p>
    <w:p w14:paraId="5D045BB4">
      <w:pPr>
        <w:keepNext w:val="0"/>
        <w:keepLines w:val="0"/>
        <w:pageBreakBefore w:val="0"/>
        <w:widowControl/>
        <w:kinsoku/>
        <w:wordWrap/>
        <w:overflowPunct/>
        <w:topLinePunct w:val="0"/>
        <w:autoSpaceDE/>
        <w:autoSpaceDN/>
        <w:bidi w:val="0"/>
        <w:spacing w:line="590" w:lineRule="exact"/>
        <w:jc w:val="left"/>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color w:val="000000"/>
          <w:kern w:val="0"/>
          <w:sz w:val="32"/>
          <w:szCs w:val="32"/>
          <w:lang w:bidi="ar"/>
        </w:rPr>
        <w:t>甲方2</w:t>
      </w:r>
      <w:r>
        <w:rPr>
          <w:rFonts w:hint="eastAsia" w:ascii="方正仿宋_GBK" w:hAnsi="方正仿宋_GBK" w:eastAsia="方正仿宋_GBK" w:cs="方正仿宋_GBK"/>
          <w:color w:val="000000"/>
          <w:kern w:val="0"/>
          <w:sz w:val="32"/>
          <w:szCs w:val="32"/>
          <w:lang w:val="en-US" w:eastAsia="zh-CN" w:bidi="ar"/>
        </w:rPr>
        <w:t xml:space="preserve"> </w:t>
      </w:r>
      <w:r>
        <w:rPr>
          <w:rFonts w:hint="eastAsia" w:ascii="方正仿宋_GBK" w:hAnsi="方正仿宋_GBK" w:eastAsia="方正仿宋_GBK" w:cs="方正仿宋_GBK"/>
          <w:color w:val="000000"/>
          <w:kern w:val="0"/>
          <w:sz w:val="32"/>
          <w:szCs w:val="32"/>
          <w:lang w:bidi="ar"/>
        </w:rPr>
        <w:t>：</w:t>
      </w:r>
      <w:r>
        <w:rPr>
          <w:rFonts w:hint="eastAsia" w:ascii="仿宋" w:hAnsi="仿宋" w:eastAsia="仿宋" w:cs="宋体"/>
          <w:color w:val="auto"/>
          <w:sz w:val="32"/>
          <w:szCs w:val="32"/>
          <w:u w:val="single"/>
          <w:lang w:eastAsia="zh-CN"/>
        </w:rPr>
        <w:t>江苏宿迁天丰粮食收储有限公司</w:t>
      </w:r>
      <w:r>
        <w:rPr>
          <w:rFonts w:hint="eastAsia" w:ascii="方正仿宋_GBK" w:hAnsi="方正仿宋_GBK" w:eastAsia="方正仿宋_GBK" w:cs="方正仿宋_GBK"/>
          <w:sz w:val="32"/>
          <w:szCs w:val="32"/>
          <w:highlight w:val="none"/>
          <w:u w:val="single"/>
          <w:lang w:val="en-US" w:eastAsia="zh-CN"/>
        </w:rPr>
        <w:t xml:space="preserve"> </w:t>
      </w:r>
    </w:p>
    <w:p w14:paraId="69D2EF3D">
      <w:pPr>
        <w:keepNext w:val="0"/>
        <w:keepLines w:val="0"/>
        <w:pageBreakBefore w:val="0"/>
        <w:widowControl/>
        <w:kinsoku/>
        <w:wordWrap/>
        <w:overflowPunct/>
        <w:topLinePunct w:val="0"/>
        <w:autoSpaceDE/>
        <w:autoSpaceDN/>
        <w:bidi w:val="0"/>
        <w:spacing w:line="590" w:lineRule="exact"/>
        <w:jc w:val="left"/>
        <w:textAlignment w:val="auto"/>
        <w:rPr>
          <w:rFonts w:hint="eastAsia" w:ascii="方正仿宋_GBK" w:hAnsi="方正仿宋_GBK" w:eastAsia="方正仿宋_GBK" w:cs="方正仿宋_GBK"/>
          <w:color w:val="000000" w:themeColor="text1"/>
          <w:sz w:val="32"/>
          <w:szCs w:val="32"/>
          <w:u w:val="single"/>
          <w14:textFill>
            <w14:solidFill>
              <w14:schemeClr w14:val="tx1"/>
            </w14:solidFill>
          </w14:textFill>
        </w:rPr>
      </w:pPr>
      <w:r>
        <w:rPr>
          <w:rFonts w:hint="eastAsia" w:ascii="方正仿宋_GBK" w:hAnsi="方正仿宋_GBK" w:eastAsia="方正仿宋_GBK" w:cs="方正仿宋_GBK"/>
          <w:color w:val="000000"/>
          <w:kern w:val="0"/>
          <w:sz w:val="32"/>
          <w:szCs w:val="32"/>
          <w:lang w:bidi="ar"/>
        </w:rPr>
        <w:t xml:space="preserve">乙方 </w:t>
      </w:r>
      <w:r>
        <w:rPr>
          <w:rFonts w:hint="eastAsia" w:ascii="方正仿宋_GBK" w:hAnsi="方正仿宋_GBK" w:eastAsia="方正仿宋_GBK" w:cs="方正仿宋_GBK"/>
          <w:color w:val="000000"/>
          <w:kern w:val="0"/>
          <w:sz w:val="32"/>
          <w:szCs w:val="32"/>
          <w:lang w:val="en-US" w:eastAsia="zh-CN" w:bidi="ar"/>
        </w:rPr>
        <w:t xml:space="preserve"> </w:t>
      </w:r>
      <w:r>
        <w:rPr>
          <w:rFonts w:hint="eastAsia" w:ascii="方正仿宋_GBK" w:hAnsi="方正仿宋_GBK" w:eastAsia="方正仿宋_GBK" w:cs="方正仿宋_GBK"/>
          <w:color w:val="000000"/>
          <w:kern w:val="0"/>
          <w:sz w:val="32"/>
          <w:szCs w:val="32"/>
          <w:lang w:bidi="ar"/>
        </w:rPr>
        <w:t>：</w:t>
      </w:r>
      <w:r>
        <w:rPr>
          <w:rFonts w:hint="eastAsia" w:ascii="方正仿宋_GBK" w:hAnsi="方正仿宋_GBK" w:eastAsia="方正仿宋_GBK" w:cs="方正仿宋_GBK"/>
          <w:color w:val="000000"/>
          <w:kern w:val="0"/>
          <w:sz w:val="32"/>
          <w:szCs w:val="32"/>
          <w:lang w:val="en-US" w:eastAsia="zh-CN" w:bidi="ar"/>
        </w:rPr>
        <w:t xml:space="preserve"> </w:t>
      </w:r>
      <w:r>
        <w:rPr>
          <w:rFonts w:hint="eastAsia" w:ascii="方正仿宋_GBK" w:hAnsi="方正仿宋_GBK" w:eastAsia="方正仿宋_GBK" w:cs="方正仿宋_GBK"/>
          <w:color w:val="000000"/>
          <w:kern w:val="0"/>
          <w:sz w:val="32"/>
          <w:szCs w:val="32"/>
          <w:u w:val="single"/>
          <w:lang w:val="en-US" w:eastAsia="zh-CN" w:bidi="ar"/>
        </w:rPr>
        <w:t xml:space="preserve">                           </w:t>
      </w:r>
      <w:r>
        <w:rPr>
          <w:rFonts w:hint="eastAsia" w:ascii="方正仿宋_GBK" w:hAnsi="方正仿宋_GBK" w:eastAsia="方正仿宋_GBK" w:cs="方正仿宋_GBK"/>
          <w:color w:val="000000"/>
          <w:kern w:val="0"/>
          <w:sz w:val="32"/>
          <w:szCs w:val="32"/>
          <w:u w:val="single"/>
          <w:lang w:bidi="ar"/>
        </w:rPr>
        <w:t xml:space="preserve">  </w:t>
      </w:r>
    </w:p>
    <w:p w14:paraId="55285301">
      <w:pPr>
        <w:keepNext w:val="0"/>
        <w:keepLines w:val="0"/>
        <w:pageBreakBefore w:val="0"/>
        <w:kinsoku/>
        <w:wordWrap/>
        <w:overflowPunct/>
        <w:topLinePunct w:val="0"/>
        <w:autoSpaceDE/>
        <w:autoSpaceDN/>
        <w:bidi w:val="0"/>
        <w:spacing w:line="590" w:lineRule="exact"/>
        <w:ind w:firstLine="480" w:firstLineChars="150"/>
        <w:jc w:val="left"/>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为充分发挥各自优势，合理配置粮源，依据江苏粮油商品交易市场（以下简称江苏市场）</w:t>
      </w:r>
      <w:r>
        <w:rPr>
          <w:rFonts w:hint="eastAsia" w:ascii="方正仿宋_GBK" w:hAnsi="方正仿宋_GBK" w:eastAsia="方正仿宋_GBK" w:cs="方正仿宋_GBK"/>
          <w:sz w:val="32"/>
          <w:szCs w:val="32"/>
          <w:highlight w:val="none"/>
          <w:lang w:val="en-US" w:eastAsia="zh-CN"/>
        </w:rPr>
        <w:t>2025</w:t>
      </w:r>
      <w:r>
        <w:rPr>
          <w:rFonts w:hint="eastAsia" w:ascii="方正仿宋_GBK" w:hAnsi="方正仿宋_GBK" w:eastAsia="方正仿宋_GBK" w:cs="方正仿宋_GBK"/>
          <w:sz w:val="32"/>
          <w:szCs w:val="32"/>
          <w:highlight w:val="none"/>
        </w:rPr>
        <w:t>年</w:t>
      </w:r>
      <w:r>
        <w:rPr>
          <w:rFonts w:hint="eastAsia" w:ascii="方正仿宋_GBK" w:hAnsi="方正仿宋_GBK" w:eastAsia="方正仿宋_GBK" w:cs="方正仿宋_GBK"/>
          <w:sz w:val="32"/>
          <w:szCs w:val="32"/>
          <w:highlight w:val="none"/>
          <w:lang w:val="en-US" w:eastAsia="zh-CN"/>
        </w:rPr>
        <w:t>1</w:t>
      </w:r>
      <w:r>
        <w:rPr>
          <w:rFonts w:hint="eastAsia" w:ascii="方正仿宋_GBK" w:hAnsi="方正仿宋_GBK" w:eastAsia="方正仿宋_GBK" w:cs="方正仿宋_GBK"/>
          <w:sz w:val="32"/>
          <w:szCs w:val="32"/>
          <w:highlight w:val="none"/>
        </w:rPr>
        <w:t>月</w:t>
      </w:r>
      <w:r>
        <w:rPr>
          <w:rFonts w:hint="eastAsia" w:ascii="方正仿宋_GBK" w:hAnsi="方正仿宋_GBK" w:eastAsia="方正仿宋_GBK" w:cs="方正仿宋_GBK"/>
          <w:sz w:val="32"/>
          <w:szCs w:val="32"/>
          <w:highlight w:val="none"/>
          <w:lang w:val="en-US" w:eastAsia="zh-CN"/>
        </w:rPr>
        <w:t>14</w:t>
      </w:r>
      <w:r>
        <w:rPr>
          <w:rFonts w:hint="eastAsia" w:ascii="方正仿宋_GBK" w:hAnsi="方正仿宋_GBK" w:eastAsia="方正仿宋_GBK" w:cs="方正仿宋_GBK"/>
          <w:sz w:val="32"/>
          <w:szCs w:val="32"/>
          <w:highlight w:val="none"/>
        </w:rPr>
        <w:t>日</w:t>
      </w:r>
      <w:r>
        <w:rPr>
          <w:rFonts w:hint="eastAsia" w:ascii="方正仿宋_GBK" w:hAnsi="方正仿宋_GBK" w:eastAsia="方正仿宋_GBK" w:cs="方正仿宋_GBK"/>
          <w:sz w:val="32"/>
          <w:szCs w:val="32"/>
        </w:rPr>
        <w:t>竞价结果</w:t>
      </w:r>
      <w:r>
        <w:rPr>
          <w:rFonts w:hint="eastAsia" w:ascii="方正仿宋_GBK" w:hAnsi="方正仿宋_GBK" w:eastAsia="方正仿宋_GBK" w:cs="方正仿宋_GBK"/>
          <w:color w:val="000000" w:themeColor="text1"/>
          <w:sz w:val="32"/>
          <w:szCs w:val="32"/>
          <w14:textFill>
            <w14:solidFill>
              <w14:schemeClr w14:val="tx1"/>
            </w14:solidFill>
          </w14:textFill>
        </w:rPr>
        <w:t>，就甲方1和甲方2（甲方2为甲方1的下属企业，以下并称甲方）与乙方合作</w:t>
      </w:r>
      <w:r>
        <w:rPr>
          <w:rFonts w:hint="eastAsia" w:ascii="方正仿宋_GBK" w:hAnsi="方正仿宋_GBK" w:eastAsia="方正仿宋_GBK" w:cs="方正仿宋_GBK"/>
          <w:color w:val="000000" w:themeColor="text1"/>
          <w:sz w:val="32"/>
          <w:szCs w:val="32"/>
          <w:u w:val="single" w:color="FFFFFF"/>
          <w14:textFill>
            <w14:solidFill>
              <w14:schemeClr w14:val="tx1"/>
            </w14:solidFill>
          </w14:textFill>
        </w:rPr>
        <w:t>组织收购</w:t>
      </w:r>
      <w:r>
        <w:rPr>
          <w:rFonts w:hint="eastAsia" w:ascii="方正仿宋_GBK" w:hAnsi="方正仿宋_GBK" w:eastAsia="方正仿宋_GBK" w:cs="方正仿宋_GBK"/>
          <w:color w:val="000000"/>
          <w:kern w:val="0"/>
          <w:sz w:val="32"/>
          <w:szCs w:val="32"/>
          <w:lang w:val="en-US" w:eastAsia="zh-CN" w:bidi="ar"/>
        </w:rPr>
        <w:t>2024</w:t>
      </w:r>
      <w:r>
        <w:rPr>
          <w:rFonts w:hint="eastAsia" w:ascii="方正仿宋_GBK" w:hAnsi="方正仿宋_GBK" w:eastAsia="方正仿宋_GBK" w:cs="方正仿宋_GBK"/>
          <w:color w:val="000000" w:themeColor="text1"/>
          <w:sz w:val="32"/>
          <w:szCs w:val="32"/>
          <w14:textFill>
            <w14:solidFill>
              <w14:schemeClr w14:val="tx1"/>
            </w14:solidFill>
          </w14:textFill>
        </w:rPr>
        <w:t>年产</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中晚籼稻</w:t>
      </w:r>
      <w:r>
        <w:rPr>
          <w:rFonts w:hint="eastAsia" w:ascii="方正仿宋_GBK" w:hAnsi="方正仿宋_GBK" w:eastAsia="方正仿宋_GBK" w:cs="方正仿宋_GBK"/>
          <w:color w:val="000000" w:themeColor="text1"/>
          <w:sz w:val="32"/>
          <w:szCs w:val="32"/>
          <w:u w:val="single"/>
          <w:lang w:val="en-US" w:eastAsia="zh-CN"/>
          <w14:textFill>
            <w14:solidFill>
              <w14:schemeClr w14:val="tx1"/>
            </w14:solidFill>
          </w14:textFill>
        </w:rPr>
        <w:t>2181</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吨</w:t>
      </w:r>
      <w:r>
        <w:rPr>
          <w:rFonts w:hint="eastAsia" w:ascii="方正仿宋_GBK" w:hAnsi="方正仿宋_GBK" w:eastAsia="方正仿宋_GBK" w:cs="方正仿宋_GBK"/>
          <w:color w:val="000000" w:themeColor="text1"/>
          <w:sz w:val="32"/>
          <w:szCs w:val="32"/>
          <w:u w:color="FFFFFF"/>
          <w14:textFill>
            <w14:solidFill>
              <w14:schemeClr w14:val="tx1"/>
            </w14:solidFill>
          </w14:textFill>
        </w:rPr>
        <w:t>，同</w:t>
      </w:r>
      <w:r>
        <w:rPr>
          <w:rFonts w:hint="eastAsia" w:ascii="方正仿宋_GBK" w:hAnsi="方正仿宋_GBK" w:eastAsia="方正仿宋_GBK" w:cs="方正仿宋_GBK"/>
          <w:color w:val="000000" w:themeColor="text1"/>
          <w:sz w:val="32"/>
          <w:szCs w:val="32"/>
          <w14:textFill>
            <w14:solidFill>
              <w14:schemeClr w14:val="tx1"/>
            </w14:solidFill>
          </w14:textFill>
        </w:rPr>
        <w:t>时由乙方根据甲方的出库时间要求负责全部回购，达成以下协议：</w:t>
      </w:r>
    </w:p>
    <w:p w14:paraId="3FC5F02C">
      <w:pPr>
        <w:keepNext w:val="0"/>
        <w:keepLines w:val="0"/>
        <w:pageBreakBefore w:val="0"/>
        <w:numPr>
          <w:ilvl w:val="0"/>
          <w:numId w:val="0"/>
        </w:numPr>
        <w:kinsoku/>
        <w:wordWrap/>
        <w:overflowPunct/>
        <w:topLinePunct w:val="0"/>
        <w:autoSpaceDE/>
        <w:autoSpaceDN/>
        <w:bidi w:val="0"/>
        <w:spacing w:line="59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一、甲方与乙方合作组织收购</w:t>
      </w:r>
      <w:r>
        <w:rPr>
          <w:rFonts w:hint="eastAsia" w:ascii="方正仿宋_GBK" w:hAnsi="方正仿宋_GBK" w:eastAsia="方正仿宋_GBK" w:cs="方正仿宋_GBK"/>
          <w:color w:val="000000"/>
          <w:kern w:val="0"/>
          <w:sz w:val="32"/>
          <w:szCs w:val="32"/>
          <w:lang w:val="en-US" w:eastAsia="zh-CN" w:bidi="ar"/>
        </w:rPr>
        <w:t>2024</w:t>
      </w:r>
      <w:r>
        <w:rPr>
          <w:rFonts w:hint="eastAsia" w:ascii="方正黑体_GBK" w:hAnsi="方正黑体_GBK" w:eastAsia="方正黑体_GBK" w:cs="方正黑体_GBK"/>
          <w:color w:val="000000"/>
          <w:kern w:val="0"/>
          <w:sz w:val="32"/>
          <w:szCs w:val="32"/>
          <w:lang w:val="en-US" w:eastAsia="zh-CN" w:bidi="ar"/>
        </w:rPr>
        <w:t>年产</w:t>
      </w:r>
      <w:r>
        <w:rPr>
          <w:rFonts w:hint="eastAsia" w:ascii="方正黑体_GBK" w:hAnsi="方正黑体_GBK" w:eastAsia="方正黑体_GBK" w:cs="方正黑体_GBK"/>
          <w:sz w:val="32"/>
          <w:szCs w:val="32"/>
          <w:lang w:val="en-US" w:eastAsia="zh-CN"/>
        </w:rPr>
        <w:t>中晚籼稻</w:t>
      </w:r>
      <w:r>
        <w:rPr>
          <w:rFonts w:hint="eastAsia" w:ascii="方正黑体_GBK" w:hAnsi="方正黑体_GBK" w:eastAsia="方正黑体_GBK" w:cs="方正黑体_GBK"/>
          <w:sz w:val="32"/>
          <w:szCs w:val="32"/>
          <w:u w:val="single"/>
          <w:lang w:val="en-US" w:eastAsia="zh-CN"/>
        </w:rPr>
        <w:t>21</w:t>
      </w:r>
      <w:bookmarkStart w:id="0" w:name="_GoBack"/>
      <w:bookmarkEnd w:id="0"/>
      <w:r>
        <w:rPr>
          <w:rFonts w:hint="eastAsia" w:ascii="方正黑体_GBK" w:hAnsi="方正黑体_GBK" w:eastAsia="方正黑体_GBK" w:cs="方正黑体_GBK"/>
          <w:sz w:val="32"/>
          <w:szCs w:val="32"/>
          <w:u w:val="single"/>
          <w:lang w:val="en-US" w:eastAsia="zh-CN"/>
        </w:rPr>
        <w:t>81</w:t>
      </w:r>
      <w:r>
        <w:rPr>
          <w:rFonts w:hint="eastAsia" w:ascii="方正黑体_GBK" w:hAnsi="方正黑体_GBK" w:eastAsia="方正黑体_GBK" w:cs="方正黑体_GBK"/>
          <w:color w:val="000000"/>
          <w:kern w:val="0"/>
          <w:sz w:val="32"/>
          <w:szCs w:val="32"/>
          <w:lang w:val="en-US" w:eastAsia="zh-CN" w:bidi="ar"/>
        </w:rPr>
        <w:t>吨</w:t>
      </w:r>
    </w:p>
    <w:p w14:paraId="0732896D">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1.入库时间：</w:t>
      </w:r>
      <w:r>
        <w:rPr>
          <w:rFonts w:hint="eastAsia" w:ascii="方正仿宋_GBK" w:hAnsi="方正仿宋_GBK" w:eastAsia="方正仿宋_GBK" w:cs="方正仿宋_GBK"/>
          <w:sz w:val="32"/>
          <w:szCs w:val="32"/>
          <w:lang w:eastAsia="zh-CN"/>
        </w:rPr>
        <w:t>在</w:t>
      </w:r>
      <w:r>
        <w:rPr>
          <w:rFonts w:hint="eastAsia" w:ascii="方正仿宋_GBK" w:hAnsi="方正仿宋_GBK" w:eastAsia="方正仿宋_GBK" w:cs="方正仿宋_GBK"/>
          <w:sz w:val="32"/>
          <w:szCs w:val="32"/>
          <w:u w:val="single"/>
          <w:lang w:val="en-US" w:eastAsia="zh-CN"/>
        </w:rPr>
        <w:t xml:space="preserve"> 2025 </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u w:val="single"/>
          <w:lang w:val="en-US" w:eastAsia="zh-CN"/>
        </w:rPr>
        <w:t xml:space="preserve"> 2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u w:val="single"/>
          <w:lang w:val="en-US" w:eastAsia="zh-CN"/>
        </w:rPr>
        <w:t xml:space="preserve"> 25 </w:t>
      </w:r>
      <w:r>
        <w:rPr>
          <w:rFonts w:hint="eastAsia" w:ascii="方正仿宋_GBK" w:hAnsi="方正仿宋_GBK" w:eastAsia="方正仿宋_GBK" w:cs="方正仿宋_GBK"/>
          <w:sz w:val="32"/>
          <w:szCs w:val="32"/>
        </w:rPr>
        <w:t>日前完成入库粮食</w:t>
      </w:r>
      <w:r>
        <w:rPr>
          <w:rFonts w:hint="eastAsia" w:ascii="方正仿宋_GBK" w:hAnsi="方正仿宋_GBK" w:eastAsia="方正仿宋_GBK" w:cs="方正仿宋_GBK"/>
          <w:sz w:val="32"/>
          <w:szCs w:val="32"/>
          <w:lang w:val="en-US" w:eastAsia="zh-CN"/>
        </w:rPr>
        <w:t>累计</w:t>
      </w:r>
      <w:r>
        <w:rPr>
          <w:rFonts w:hint="eastAsia" w:ascii="方正仿宋_GBK" w:hAnsi="方正仿宋_GBK" w:eastAsia="方正仿宋_GBK" w:cs="方正仿宋_GBK"/>
          <w:sz w:val="32"/>
          <w:szCs w:val="32"/>
          <w:u w:val="single"/>
          <w:lang w:val="en-US" w:eastAsia="zh-CN"/>
        </w:rPr>
        <w:t>2181</w:t>
      </w:r>
      <w:r>
        <w:rPr>
          <w:rFonts w:hint="eastAsia" w:ascii="方正仿宋_GBK" w:hAnsi="方正仿宋_GBK" w:eastAsia="方正仿宋_GBK" w:cs="方正仿宋_GBK"/>
          <w:sz w:val="32"/>
          <w:szCs w:val="32"/>
        </w:rPr>
        <w:t>吨。具体仓号、数量以粮食入库后双方书面确认单为准。</w:t>
      </w:r>
    </w:p>
    <w:p w14:paraId="5145B240">
      <w:pPr>
        <w:keepNext w:val="0"/>
        <w:keepLines w:val="0"/>
        <w:pageBreakBefore w:val="0"/>
        <w:tabs>
          <w:tab w:val="left" w:pos="1305"/>
        </w:tabs>
        <w:kinsoku/>
        <w:wordWrap/>
        <w:overflowPunct/>
        <w:topLinePunct w:val="0"/>
        <w:autoSpaceDE/>
        <w:autoSpaceDN/>
        <w:bidi w:val="0"/>
        <w:adjustRightInd w:val="0"/>
        <w:snapToGrid w:val="0"/>
        <w:spacing w:line="590" w:lineRule="exact"/>
        <w:ind w:right="630" w:rightChars="300" w:firstLine="640" w:firstLineChars="200"/>
        <w:textAlignment w:val="auto"/>
        <w:rPr>
          <w:rFonts w:hint="default"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z w:val="32"/>
          <w:szCs w:val="32"/>
        </w:rPr>
        <w:t>2.交货地点：</w:t>
      </w:r>
      <w:r>
        <w:rPr>
          <w:rFonts w:hint="eastAsia" w:ascii="仿宋" w:hAnsi="仿宋" w:eastAsia="仿宋" w:cs="宋体"/>
          <w:color w:val="auto"/>
          <w:sz w:val="32"/>
          <w:szCs w:val="32"/>
          <w:u w:val="single"/>
          <w:lang w:eastAsia="zh-CN"/>
        </w:rPr>
        <w:t>江苏宿迁天丰粮食收储有限公司</w:t>
      </w:r>
      <w:r>
        <w:rPr>
          <w:rFonts w:hint="eastAsia" w:ascii="仿宋" w:hAnsi="仿宋" w:eastAsia="仿宋" w:cs="楷体"/>
          <w:color w:val="auto"/>
          <w:sz w:val="32"/>
          <w:szCs w:val="32"/>
        </w:rPr>
        <w:t>。</w:t>
      </w:r>
    </w:p>
    <w:p w14:paraId="0B42CFD3">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3.入库价格：</w:t>
      </w:r>
      <w:r>
        <w:rPr>
          <w:rFonts w:hint="eastAsia" w:ascii="仿宋" w:hAnsi="仿宋" w:eastAsia="仿宋" w:cs="楷体"/>
          <w:color w:val="auto"/>
          <w:sz w:val="32"/>
          <w:szCs w:val="32"/>
        </w:rPr>
        <w:t>设定初始采购价为</w:t>
      </w:r>
      <w:r>
        <w:rPr>
          <w:rFonts w:hint="eastAsia" w:ascii="仿宋" w:hAnsi="仿宋" w:eastAsia="仿宋" w:cs="楷体"/>
          <w:color w:val="auto"/>
          <w:sz w:val="32"/>
          <w:szCs w:val="32"/>
          <w:u w:val="single"/>
          <w:lang w:val="en-US" w:eastAsia="zh-CN"/>
        </w:rPr>
        <w:t>2700</w:t>
      </w:r>
      <w:r>
        <w:rPr>
          <w:rFonts w:hint="eastAsia" w:ascii="仿宋" w:hAnsi="仿宋" w:eastAsia="仿宋" w:cs="楷体"/>
          <w:color w:val="auto"/>
          <w:sz w:val="32"/>
          <w:szCs w:val="32"/>
        </w:rPr>
        <w:t>元/吨（</w:t>
      </w:r>
      <w:r>
        <w:rPr>
          <w:rFonts w:hint="eastAsia" w:ascii="方正仿宋_GBK" w:hAnsi="方正仿宋_GBK" w:eastAsia="方正仿宋_GBK" w:cs="方正仿宋_GBK"/>
          <w:color w:val="auto"/>
          <w:sz w:val="32"/>
          <w:szCs w:val="32"/>
          <w:u w:val="none"/>
        </w:rPr>
        <w:t>甲方2</w:t>
      </w:r>
      <w:r>
        <w:rPr>
          <w:rFonts w:hint="eastAsia" w:ascii="仿宋" w:hAnsi="仿宋" w:eastAsia="仿宋" w:cs="楷体"/>
          <w:color w:val="auto"/>
          <w:sz w:val="32"/>
          <w:szCs w:val="32"/>
        </w:rPr>
        <w:t>散装自卸仓前车板价</w:t>
      </w:r>
      <w:r>
        <w:rPr>
          <w:rFonts w:hint="eastAsia" w:ascii="仿宋" w:hAnsi="仿宋" w:eastAsia="仿宋" w:cs="楷体"/>
          <w:color w:val="auto"/>
          <w:sz w:val="32"/>
          <w:szCs w:val="32"/>
          <w:lang w:eastAsia="zh-CN"/>
        </w:rPr>
        <w:t>）</w:t>
      </w:r>
      <w:r>
        <w:rPr>
          <w:rFonts w:hint="eastAsia" w:ascii="方正仿宋_GBK" w:hAnsi="方正仿宋_GBK" w:eastAsia="方正仿宋_GBK" w:cs="方正仿宋_GBK"/>
          <w:color w:val="auto"/>
          <w:sz w:val="32"/>
          <w:szCs w:val="32"/>
          <w:u w:val="none"/>
        </w:rPr>
        <w:t>。</w:t>
      </w:r>
      <w:r>
        <w:rPr>
          <w:rFonts w:hint="eastAsia" w:ascii="方正仿宋_GBK" w:hAnsi="方正仿宋_GBK" w:eastAsia="方正仿宋_GBK" w:cs="方正仿宋_GBK"/>
          <w:color w:val="auto"/>
          <w:sz w:val="32"/>
          <w:szCs w:val="32"/>
        </w:rPr>
        <w:t>为保证储备粮按时轮入和市场价接</w:t>
      </w:r>
      <w:r>
        <w:rPr>
          <w:rFonts w:hint="eastAsia" w:ascii="方正仿宋_GBK" w:hAnsi="方正仿宋_GBK" w:eastAsia="方正仿宋_GBK" w:cs="方正仿宋_GBK"/>
          <w:sz w:val="32"/>
          <w:szCs w:val="32"/>
        </w:rPr>
        <w:t>轨，允许入库价格根据市场价格进行调整，以甲方和中标方双方价格确认书为准，最终入库价格以单仓为单位，以单仓入库平均价格确定为入库价格。</w:t>
      </w:r>
    </w:p>
    <w:p w14:paraId="525E2C90">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4.入库方式：</w:t>
      </w:r>
    </w:p>
    <w:p w14:paraId="2BAB4480">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（1）由乙方组织供货；</w:t>
      </w:r>
    </w:p>
    <w:p w14:paraId="2BAEB4CE">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仿宋" w:hAnsi="仿宋" w:eastAsia="仿宋" w:cs="楷体"/>
          <w:color w:val="auto"/>
          <w:sz w:val="32"/>
          <w:szCs w:val="32"/>
        </w:rPr>
        <w:t>（2）考虑到服务三农和农民售粮需要，经乙方同意，在同等质量标准和价格条件下，也可以由甲方2组织收购，并作为采购合同履约的组成部分，甲方2组织收购粮食的数量、质量和价格，甲、乙双方应予配合确认。</w:t>
      </w:r>
    </w:p>
    <w:p w14:paraId="376C9958">
      <w:pPr>
        <w:ind w:right="60" w:rightChars="0" w:firstLine="640" w:firstLineChars="200"/>
        <w:rPr>
          <w:rFonts w:hint="eastAsia" w:ascii="方正仿宋_GBK" w:hAnsi="方正仿宋_GBK" w:eastAsia="方正仿宋_GBK" w:cs="方正仿宋_GBK"/>
          <w:sz w:val="32"/>
          <w:szCs w:val="32"/>
          <w:highlight w:val="yellow"/>
          <w:lang w:eastAsia="zh-CN"/>
        </w:rPr>
      </w:pP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lang w:val="en-US" w:eastAsia="zh-CN"/>
        </w:rPr>
        <w:t>入库</w:t>
      </w:r>
      <w:r>
        <w:rPr>
          <w:rFonts w:hint="eastAsia" w:ascii="方正仿宋_GBK" w:hAnsi="方正仿宋_GBK" w:eastAsia="方正仿宋_GBK" w:cs="方正仿宋_GBK"/>
          <w:sz w:val="32"/>
          <w:szCs w:val="32"/>
        </w:rPr>
        <w:t>质量要求：</w:t>
      </w:r>
      <w:r>
        <w:rPr>
          <w:rFonts w:hint="eastAsia" w:ascii="方正仿宋_GBK" w:hAnsi="方正仿宋_GBK" w:eastAsia="方正仿宋_GBK" w:cs="方正仿宋_GBK"/>
          <w:sz w:val="32"/>
          <w:szCs w:val="32"/>
          <w:lang w:val="en-US"/>
        </w:rPr>
        <w:t>2024年度国产中晚籼稻，符合国标三等及以上标准，要求水分≤13.5%，每超0.5%，扣量0.65%；高不足0.5%的，不计扣量；水分&gt;14%拒收；要求杂质≤1%，若杂质1%&lt;杂质≤2%，过筛回杂(过筛入库，筛下物由卖方带回，整理费用以事前商定一致为准)，杂质&gt;2%原则上拒收;色泽气味正常，其他质量指标达到国家规定中等标准以上；品质指标宜存，黄曲霉毒素B1＜10ug/kg，铅含量＜0.2mg/kg，镉含量＜0.2mg/kg，其他食品安全卫生指标符合国家食品卫生指标标准，超过规定标准的买方有权拒收。扣价方法：以出米率6</w:t>
      </w: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sz w:val="32"/>
          <w:szCs w:val="32"/>
          <w:lang w:val="en-US"/>
        </w:rPr>
        <w:t>%为基准，每低0.5%扣价0.01元/500g，低不足0.5%不扣价，高于6</w:t>
      </w: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sz w:val="32"/>
          <w:szCs w:val="32"/>
          <w:lang w:val="en-US"/>
        </w:rPr>
        <w:t>%不增价，出米率低于6</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lang w:val="en-US"/>
        </w:rPr>
        <w:t>%拒收。</w:t>
      </w:r>
      <w:r>
        <w:rPr>
          <w:rFonts w:hint="eastAsia" w:ascii="方正仿宋_GBK" w:hAnsi="方正仿宋_GBK" w:eastAsia="方正仿宋_GBK" w:cs="方正仿宋_GBK"/>
          <w:sz w:val="32"/>
          <w:szCs w:val="32"/>
        </w:rPr>
        <w:t>乙方供货的粮食不得为陈粮或其他储备轮换粮。</w:t>
      </w:r>
    </w:p>
    <w:p w14:paraId="7E3092BB">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6.验收办法</w:t>
      </w:r>
      <w:r>
        <w:rPr>
          <w:rFonts w:hint="eastAsia" w:ascii="方正仿宋_GBK" w:hAnsi="方正仿宋_GBK" w:eastAsia="方正仿宋_GBK" w:cs="方正仿宋_GBK"/>
          <w:sz w:val="32"/>
          <w:szCs w:val="32"/>
          <w:lang w:eastAsia="zh-CN"/>
        </w:rPr>
        <w:t>：</w:t>
      </w:r>
    </w:p>
    <w:p w14:paraId="5ED7753D">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（1）质量确认：入库时双方在交货地验质，如对检验方法、标准或质量结果有异议，可委托具有检验资质的粮食质量检验机构检验，检验费用由异议提出方先行支付，异议成立的，最终由被异议方承担。</w:t>
      </w:r>
    </w:p>
    <w:p w14:paraId="12EDF197">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（2）数量确认：以交货库点地磅称重为准，乙方应当派人监磅，并对数量进行确认。</w:t>
      </w:r>
    </w:p>
    <w:p w14:paraId="0F705FD2">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（3）乙方如有数量、质量异议应在入库卸货前提出，逾期未提异议的视为交付合格。</w:t>
      </w:r>
    </w:p>
    <w:p w14:paraId="1396B201">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（4）粮食入库后，甲、乙双方须对入库粮食的存储仓号、数量、质量</w:t>
      </w:r>
      <w:r>
        <w:rPr>
          <w:rFonts w:hint="eastAsia" w:ascii="方正仿宋_GBK" w:hAnsi="方正仿宋_GBK" w:eastAsia="方正仿宋_GBK" w:cs="方正仿宋_GBK"/>
          <w:color w:val="000000" w:themeColor="text1"/>
          <w:sz w:val="32"/>
          <w:szCs w:val="32"/>
          <w14:textFill>
            <w14:solidFill>
              <w14:schemeClr w14:val="tx1"/>
            </w14:solidFill>
          </w14:textFill>
        </w:rPr>
        <w:t>、价格</w:t>
      </w:r>
      <w:r>
        <w:rPr>
          <w:rFonts w:hint="eastAsia" w:ascii="方正仿宋_GBK" w:hAnsi="方正仿宋_GBK" w:eastAsia="方正仿宋_GBK" w:cs="方正仿宋_GBK"/>
          <w:sz w:val="32"/>
          <w:szCs w:val="32"/>
        </w:rPr>
        <w:t>等进行书面确认。</w:t>
      </w:r>
    </w:p>
    <w:p w14:paraId="7213E54F">
      <w:pPr>
        <w:keepNext w:val="0"/>
        <w:keepLines w:val="0"/>
        <w:pageBreakBefore w:val="0"/>
        <w:kinsoku/>
        <w:wordWrap/>
        <w:overflowPunct/>
        <w:topLinePunct w:val="0"/>
        <w:autoSpaceDE/>
        <w:autoSpaceDN/>
        <w:bidi w:val="0"/>
        <w:spacing w:line="590" w:lineRule="exact"/>
        <w:ind w:firstLine="560"/>
        <w:jc w:val="left"/>
        <w:textAlignment w:val="auto"/>
        <w:rPr>
          <w:rFonts w:hint="eastAsia" w:ascii="方正黑体_GBK" w:hAnsi="方正黑体_GBK" w:eastAsia="方正黑体_GBK" w:cs="方正黑体_GBK"/>
          <w:b w:val="0"/>
          <w:bCs w:val="0"/>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color w:val="000000" w:themeColor="text1"/>
          <w:sz w:val="32"/>
          <w:szCs w:val="32"/>
          <w:lang w:val="en-US" w:eastAsia="zh-CN"/>
          <w14:textFill>
            <w14:solidFill>
              <w14:schemeClr w14:val="tx1"/>
            </w14:solidFill>
          </w14:textFill>
        </w:rPr>
        <w:t>二</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、双方商定乙方回购事项</w:t>
      </w:r>
    </w:p>
    <w:p w14:paraId="427E642B">
      <w:pPr>
        <w:keepNext w:val="0"/>
        <w:keepLines w:val="0"/>
        <w:pageBreakBefore w:val="0"/>
        <w:kinsoku/>
        <w:wordWrap/>
        <w:overflowPunct/>
        <w:topLinePunct w:val="0"/>
        <w:autoSpaceDE/>
        <w:autoSpaceDN/>
        <w:bidi w:val="0"/>
        <w:spacing w:line="590" w:lineRule="exact"/>
        <w:ind w:firstLine="56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 本次购销合作双向交易中，约定销售事项为乙方回购，乙方回购的粮食为本次采购的在未来时点轮出的粮食，回购粮食时间以甲方通知出库时间为准。具体回购时间为：</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u w:val="single"/>
          <w:lang w:val="en-US" w:eastAsia="zh-CN"/>
        </w:rPr>
        <w:t>2025</w:t>
      </w:r>
      <w:r>
        <w:rPr>
          <w:rFonts w:hint="eastAsia" w:ascii="方正仿宋_GBK" w:hAnsi="方正仿宋_GBK" w:eastAsia="方正仿宋_GBK" w:cs="方正仿宋_GBK"/>
          <w:color w:val="auto"/>
          <w:sz w:val="32"/>
          <w:szCs w:val="32"/>
        </w:rPr>
        <w:t>年</w:t>
      </w:r>
      <w:r>
        <w:rPr>
          <w:rFonts w:hint="eastAsia" w:ascii="方正仿宋_GBK" w:hAnsi="方正仿宋_GBK" w:eastAsia="方正仿宋_GBK" w:cs="方正仿宋_GBK"/>
          <w:color w:val="auto"/>
          <w:sz w:val="32"/>
          <w:szCs w:val="32"/>
          <w:u w:val="single"/>
          <w:lang w:val="en-US" w:eastAsia="zh-CN"/>
        </w:rPr>
        <w:t xml:space="preserve">  7 </w:t>
      </w:r>
      <w:r>
        <w:rPr>
          <w:rFonts w:hint="eastAsia" w:ascii="方正仿宋_GBK" w:hAnsi="方正仿宋_GBK" w:eastAsia="方正仿宋_GBK" w:cs="方正仿宋_GBK"/>
          <w:color w:val="auto"/>
          <w:sz w:val="32"/>
          <w:szCs w:val="32"/>
          <w:u w:val="none"/>
          <w:lang w:val="en-US" w:eastAsia="zh-CN"/>
        </w:rPr>
        <w:t>至</w:t>
      </w:r>
      <w:r>
        <w:rPr>
          <w:rFonts w:hint="eastAsia" w:ascii="方正仿宋_GBK" w:hAnsi="方正仿宋_GBK" w:eastAsia="方正仿宋_GBK" w:cs="方正仿宋_GBK"/>
          <w:color w:val="auto"/>
          <w:sz w:val="32"/>
          <w:szCs w:val="32"/>
          <w:u w:val="single"/>
          <w:lang w:val="en-US" w:eastAsia="zh-CN"/>
        </w:rPr>
        <w:t xml:space="preserve"> 9 </w:t>
      </w:r>
      <w:r>
        <w:rPr>
          <w:rFonts w:hint="eastAsia" w:ascii="方正仿宋_GBK" w:hAnsi="方正仿宋_GBK" w:eastAsia="方正仿宋_GBK" w:cs="方正仿宋_GBK"/>
          <w:color w:val="auto"/>
          <w:sz w:val="32"/>
          <w:szCs w:val="32"/>
        </w:rPr>
        <w:t>月轮出</w:t>
      </w:r>
      <w:r>
        <w:rPr>
          <w:rFonts w:hint="eastAsia" w:ascii="方正仿宋_GBK" w:hAnsi="方正仿宋_GBK" w:eastAsia="方正仿宋_GBK" w:cs="方正仿宋_GBK"/>
          <w:color w:val="auto"/>
          <w:sz w:val="32"/>
          <w:szCs w:val="32"/>
          <w:u w:val="single"/>
          <w:lang w:val="en-US" w:eastAsia="zh-CN"/>
        </w:rPr>
        <w:t xml:space="preserve"> 2181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吨（甲方按照省级储备粮月末库存不低于总量70%开展轮换实施。如合同中的储备粮被政府调用，本次购销合作双向交易中的销售合同终止履行，乙方不得强求甲方履行合同或要求甲方承担违约责任，乙方的权益按照五</w:t>
      </w: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条款中内容补偿。）</w:t>
      </w:r>
    </w:p>
    <w:p w14:paraId="30037EB6">
      <w:pPr>
        <w:keepNext w:val="0"/>
        <w:keepLines w:val="0"/>
        <w:pageBreakBefore w:val="0"/>
        <w:kinsoku/>
        <w:wordWrap/>
        <w:overflowPunct/>
        <w:topLinePunct w:val="0"/>
        <w:autoSpaceDE/>
        <w:autoSpaceDN/>
        <w:bidi w:val="0"/>
        <w:spacing w:line="590" w:lineRule="exact"/>
        <w:ind w:firstLine="560"/>
        <w:jc w:val="lef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2.根据竞价交易结果，在设定初始采购价</w:t>
      </w:r>
      <w:r>
        <w:rPr>
          <w:rFonts w:hint="eastAsia" w:ascii="方正仿宋_GBK" w:hAnsi="方正仿宋_GBK" w:eastAsia="方正仿宋_GBK" w:cs="方正仿宋_GBK"/>
          <w:color w:val="auto"/>
          <w:sz w:val="32"/>
          <w:szCs w:val="32"/>
          <w:u w:val="single"/>
          <w:lang w:val="en-US" w:eastAsia="zh-CN"/>
        </w:rPr>
        <w:t xml:space="preserve"> 2700 </w:t>
      </w:r>
      <w:r>
        <w:rPr>
          <w:rFonts w:hint="eastAsia" w:ascii="方正仿宋_GBK" w:hAnsi="方正仿宋_GBK" w:eastAsia="方正仿宋_GBK" w:cs="方正仿宋_GBK"/>
          <w:color w:val="auto"/>
          <w:sz w:val="32"/>
          <w:szCs w:val="32"/>
        </w:rPr>
        <w:t>元/吨基础上的回购价格及价差，即</w:t>
      </w:r>
      <w:r>
        <w:rPr>
          <w:rFonts w:hint="eastAsia" w:ascii="方正仿宋_GBK" w:hAnsi="方正仿宋_GBK" w:eastAsia="方正仿宋_GBK" w:cs="方正仿宋_GBK"/>
          <w:color w:val="auto"/>
          <w:sz w:val="32"/>
          <w:szCs w:val="32"/>
          <w:u w:val="single"/>
        </w:rPr>
        <w:t>仓库车板价</w:t>
      </w:r>
      <w:r>
        <w:rPr>
          <w:rFonts w:hint="eastAsia" w:ascii="方正仿宋_GBK" w:hAnsi="方正仿宋_GBK" w:eastAsia="方正仿宋_GBK" w:cs="方正仿宋_GBK"/>
          <w:color w:val="auto"/>
          <w:sz w:val="32"/>
          <w:szCs w:val="32"/>
        </w:rPr>
        <w:t>：</w:t>
      </w:r>
      <w:r>
        <w:rPr>
          <w:rFonts w:hint="eastAsia" w:ascii="仿宋" w:hAnsi="仿宋" w:eastAsia="仿宋" w:cs="仿宋"/>
          <w:color w:val="auto"/>
          <w:sz w:val="32"/>
          <w:szCs w:val="32"/>
          <w:u w:val="single"/>
          <w:lang w:val="en-US" w:eastAsia="zh-CN"/>
        </w:rPr>
        <w:t>**</w:t>
      </w:r>
      <w:r>
        <w:rPr>
          <w:rFonts w:hint="eastAsia" w:ascii="方正仿宋_GBK" w:hAnsi="方正仿宋_GBK" w:eastAsia="方正仿宋_GBK" w:cs="方正仿宋_GBK"/>
          <w:color w:val="auto"/>
          <w:sz w:val="32"/>
          <w:szCs w:val="32"/>
        </w:rPr>
        <w:t>元/吨（</w:t>
      </w:r>
      <w:r>
        <w:rPr>
          <w:rFonts w:hint="eastAsia" w:ascii="方正仿宋_GBK" w:hAnsi="方正仿宋_GBK" w:eastAsia="方正仿宋_GBK" w:cs="方正仿宋_GBK"/>
          <w:color w:val="auto"/>
          <w:sz w:val="32"/>
          <w:szCs w:val="32"/>
          <w:u w:val="single"/>
          <w:lang w:val="en-US" w:eastAsia="zh-CN"/>
        </w:rPr>
        <w:t xml:space="preserve"> 2025 </w:t>
      </w:r>
      <w:r>
        <w:rPr>
          <w:rFonts w:hint="eastAsia" w:ascii="方正仿宋_GBK" w:hAnsi="方正仿宋_GBK" w:eastAsia="方正仿宋_GBK" w:cs="方正仿宋_GBK"/>
          <w:color w:val="auto"/>
          <w:sz w:val="32"/>
          <w:szCs w:val="32"/>
        </w:rPr>
        <w:t>年出库</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u w:val="none"/>
          <w:lang w:val="en-US" w:eastAsia="zh-CN"/>
        </w:rPr>
        <w:t>本处价格由竞价交易产生</w:t>
      </w:r>
      <w:r>
        <w:rPr>
          <w:rFonts w:hint="eastAsia" w:ascii="方正仿宋_GBK" w:hAnsi="方正仿宋_GBK" w:eastAsia="方正仿宋_GBK" w:cs="方正仿宋_GBK"/>
          <w:color w:val="auto"/>
          <w:sz w:val="32"/>
          <w:szCs w:val="32"/>
          <w:u w:val="none"/>
        </w:rPr>
        <w:t>）</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若实际入库价格调整，乙方回购的最终销售价=成交价-设定初始采购价+入库平均价格。(最终销售价高于成交价时，买卖双方签订补充协议，超出部分的货款在线下完成收付。）</w:t>
      </w:r>
    </w:p>
    <w:p w14:paraId="1A5BB129">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3.回购粮食数量以入库数量为准，以单个仓房为单位，双方按照保管账面数结算，合理损耗部分由乙方承担。</w:t>
      </w:r>
    </w:p>
    <w:p w14:paraId="3A781975">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color w:val="auto"/>
          <w:sz w:val="32"/>
          <w:szCs w:val="32"/>
        </w:rPr>
        <w:t>4.回购粮食质量以在库粮食质量为准，</w:t>
      </w:r>
      <w:r>
        <w:rPr>
          <w:rFonts w:hint="eastAsia" w:ascii="方正仿宋_GBK" w:hAnsi="方正仿宋_GBK" w:eastAsia="方正仿宋_GBK" w:cs="方正仿宋_GBK"/>
          <w:sz w:val="32"/>
          <w:szCs w:val="32"/>
        </w:rPr>
        <w:t>甲方2提供</w:t>
      </w:r>
      <w:r>
        <w:rPr>
          <w:rFonts w:hint="eastAsia" w:ascii="方正仿宋_GBK" w:hAnsi="方正仿宋_GBK" w:eastAsia="方正仿宋_GBK" w:cs="方正仿宋_GBK"/>
          <w:sz w:val="32"/>
          <w:szCs w:val="32"/>
          <w:highlight w:val="none"/>
          <w:lang w:val="en-US" w:eastAsia="zh-CN"/>
        </w:rPr>
        <w:t>符合相关规定的</w:t>
      </w:r>
      <w:r>
        <w:rPr>
          <w:rFonts w:hint="eastAsia" w:ascii="方正仿宋_GBK" w:hAnsi="方正仿宋_GBK" w:eastAsia="方正仿宋_GBK" w:cs="方正仿宋_GBK"/>
          <w:sz w:val="32"/>
          <w:szCs w:val="32"/>
          <w:highlight w:val="none"/>
        </w:rPr>
        <w:t>检验报告。</w:t>
      </w:r>
    </w:p>
    <w:p w14:paraId="1D14CB3F">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黑体_GBK" w:hAnsi="方正黑体_GBK" w:eastAsia="方正黑体_GBK" w:cs="方正黑体_GBK"/>
          <w:b w:val="0"/>
          <w:bCs w:val="0"/>
          <w:color w:val="auto"/>
          <w:sz w:val="32"/>
          <w:szCs w:val="32"/>
          <w:lang w:val="en-US" w:eastAsia="zh-CN"/>
        </w:rPr>
      </w:pPr>
      <w:r>
        <w:rPr>
          <w:rFonts w:hint="eastAsia" w:ascii="方正黑体_GBK" w:hAnsi="方正黑体_GBK" w:eastAsia="方正黑体_GBK" w:cs="方正黑体_GBK"/>
          <w:b w:val="0"/>
          <w:bCs w:val="0"/>
          <w:color w:val="auto"/>
          <w:sz w:val="32"/>
          <w:szCs w:val="32"/>
          <w:lang w:val="en-US" w:eastAsia="zh-CN"/>
        </w:rPr>
        <w:t>三、合同定金及保证金的支付与退还</w:t>
      </w:r>
    </w:p>
    <w:p w14:paraId="18A28B4B">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乙方除向江苏市场等第三方缴纳规定的交易保证金外，需向甲方1另交纳合同定金100元/吨，定金交付后，交易系统内的购、销双向交易合同正式生效，该项定金适用于双倍罚则。</w:t>
      </w:r>
    </w:p>
    <w:p w14:paraId="3A13A06F">
      <w:pPr>
        <w:keepNext w:val="0"/>
        <w:keepLines w:val="0"/>
        <w:pageBreakBefore w:val="0"/>
        <w:tabs>
          <w:tab w:val="left" w:pos="1305"/>
        </w:tabs>
        <w:kinsoku/>
        <w:wordWrap/>
        <w:overflowPunct/>
        <w:topLinePunct w:val="0"/>
        <w:autoSpaceDE/>
        <w:autoSpaceDN/>
        <w:bidi w:val="0"/>
        <w:adjustRightInd w:val="0"/>
        <w:snapToGrid w:val="0"/>
        <w:spacing w:line="59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乙方需按货款金额的10％向甲方1缴纳风险保证金</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包含乙方向省交易市场缴纳的销售交易保证金10元/吨</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。甲方1根据收购入库进度分批次收取风险保证金，合同定金可转为风险保证金。风险保证金不计利息，在乙方回购阶段</w:t>
      </w:r>
      <w:r>
        <w:rPr>
          <w:rFonts w:hint="eastAsia" w:ascii="方正仿宋_GBK" w:hAnsi="方正仿宋_GBK" w:eastAsia="方正仿宋_GBK" w:cs="方正仿宋_GBK"/>
          <w:color w:val="auto"/>
          <w:sz w:val="32"/>
          <w:szCs w:val="32"/>
          <w:lang w:val="en-US" w:eastAsia="zh-CN"/>
        </w:rPr>
        <w:t>以单仓为单位</w:t>
      </w:r>
      <w:r>
        <w:rPr>
          <w:rFonts w:hint="eastAsia" w:ascii="方正仿宋_GBK" w:hAnsi="方正仿宋_GBK" w:eastAsia="方正仿宋_GBK" w:cs="方正仿宋_GBK"/>
          <w:color w:val="auto"/>
          <w:sz w:val="32"/>
          <w:szCs w:val="32"/>
        </w:rPr>
        <w:t>最后一批粮食出库</w:t>
      </w:r>
      <w:r>
        <w:rPr>
          <w:rFonts w:hint="eastAsia" w:ascii="方正仿宋_GBK" w:hAnsi="方正仿宋_GBK" w:eastAsia="方正仿宋_GBK" w:cs="方正仿宋_GBK"/>
          <w:color w:val="auto"/>
          <w:sz w:val="32"/>
          <w:szCs w:val="32"/>
          <w:lang w:val="en-US" w:eastAsia="zh-CN"/>
        </w:rPr>
        <w:t>后</w:t>
      </w:r>
      <w:r>
        <w:rPr>
          <w:rFonts w:hint="eastAsia" w:ascii="方正仿宋_GBK" w:hAnsi="方正仿宋_GBK" w:eastAsia="方正仿宋_GBK" w:cs="方正仿宋_GBK"/>
          <w:color w:val="auto"/>
          <w:sz w:val="32"/>
          <w:szCs w:val="32"/>
        </w:rPr>
        <w:t>退回至乙方。</w:t>
      </w:r>
      <w:r>
        <w:rPr>
          <w:rFonts w:hint="eastAsia" w:ascii="方正仿宋_GBK" w:hAnsi="方正仿宋_GBK" w:eastAsia="方正仿宋_GBK" w:cs="方正仿宋_GBK"/>
          <w:color w:val="auto"/>
          <w:sz w:val="32"/>
          <w:szCs w:val="32"/>
          <w:lang w:val="en-US" w:eastAsia="zh-CN"/>
        </w:rPr>
        <w:t>如稻谷市场价低于最低收购价，乙方需按甲方通知时间截止期内，及时补足保证金，否则视为乙方违约。</w:t>
      </w:r>
    </w:p>
    <w:p w14:paraId="562819A4">
      <w:pPr>
        <w:keepNext w:val="0"/>
        <w:keepLines w:val="0"/>
        <w:pageBreakBefore w:val="0"/>
        <w:tabs>
          <w:tab w:val="left" w:pos="690"/>
        </w:tabs>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采购合同项下，买卖双方自主交割，甲方2在规定的合同入库期限（</w:t>
      </w:r>
      <w:r>
        <w:rPr>
          <w:rFonts w:hint="eastAsia" w:ascii="方正仿宋_GBK" w:hAnsi="方正仿宋_GBK" w:eastAsia="方正仿宋_GBK" w:cs="方正仿宋_GBK"/>
          <w:sz w:val="32"/>
          <w:szCs w:val="32"/>
          <w:u w:val="single"/>
          <w:lang w:val="en-US" w:eastAsia="zh-CN"/>
        </w:rPr>
        <w:t xml:space="preserve"> 2025 </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u w:val="single"/>
          <w:lang w:val="en-US" w:eastAsia="zh-CN"/>
        </w:rPr>
        <w:t xml:space="preserve"> 2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u w:val="single"/>
          <w:lang w:val="en-US" w:eastAsia="zh-CN"/>
        </w:rPr>
        <w:t xml:space="preserve">  25  </w:t>
      </w:r>
      <w:r>
        <w:rPr>
          <w:rFonts w:hint="eastAsia" w:ascii="方正仿宋_GBK" w:hAnsi="方正仿宋_GBK" w:eastAsia="方正仿宋_GBK" w:cs="方正仿宋_GBK"/>
          <w:sz w:val="32"/>
          <w:szCs w:val="32"/>
        </w:rPr>
        <w:t>日前）内按到货进度付款，采购合同交割期截止日以清单为准，采购合同完成率必须达到100%（允许误差以甲方与乙方签订的数量质量价格确认单为准），乙方需提供相应增值税发票或提供相应的有效收购证明后方可确认交易完成。双方交收完毕后江苏市场凭双方签订的采购确认单等有效文件清退定金。</w:t>
      </w:r>
    </w:p>
    <w:p w14:paraId="49D761EB">
      <w:pPr>
        <w:keepNext w:val="0"/>
        <w:keepLines w:val="0"/>
        <w:pageBreakBefore w:val="0"/>
        <w:tabs>
          <w:tab w:val="left" w:pos="690"/>
        </w:tabs>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销售合同项下，在合同交割期内，乙方需将货款汇至江苏市场账户（与保证金账户一致）并在系统申请开具出库通知单，凭市场出库单及身份证明到甲方2提货。销售粮食交收完毕，甲乙双方在系统签订“验收确认单”后，江苏市场退还乙方扣除手续费部分的保证金</w:t>
      </w:r>
      <w:r>
        <w:rPr>
          <w:rFonts w:hint="eastAsia" w:ascii="方正仿宋_GBK" w:hAnsi="方正仿宋_GBK" w:eastAsia="方正仿宋_GBK" w:cs="方正仿宋_GBK"/>
          <w:color w:val="auto"/>
          <w:sz w:val="32"/>
          <w:szCs w:val="32"/>
        </w:rPr>
        <w:t>（与中标结果数量、价格差异部分由</w:t>
      </w:r>
      <w:r>
        <w:rPr>
          <w:rFonts w:hint="eastAsia" w:ascii="方正仿宋_GBK" w:hAnsi="方正仿宋_GBK" w:eastAsia="方正仿宋_GBK" w:cs="方正仿宋_GBK"/>
          <w:color w:val="auto"/>
          <w:sz w:val="32"/>
          <w:szCs w:val="32"/>
          <w:lang w:val="en-US" w:eastAsia="zh-CN"/>
        </w:rPr>
        <w:t>甲</w:t>
      </w:r>
      <w:r>
        <w:rPr>
          <w:rFonts w:hint="eastAsia" w:ascii="方正仿宋_GBK" w:hAnsi="方正仿宋_GBK" w:eastAsia="方正仿宋_GBK" w:cs="方正仿宋_GBK"/>
          <w:color w:val="auto"/>
          <w:sz w:val="32"/>
          <w:szCs w:val="32"/>
        </w:rPr>
        <w:t>方与</w:t>
      </w:r>
      <w:r>
        <w:rPr>
          <w:rFonts w:hint="eastAsia" w:ascii="方正仿宋_GBK" w:hAnsi="方正仿宋_GBK" w:eastAsia="方正仿宋_GBK" w:cs="方正仿宋_GBK"/>
          <w:color w:val="auto"/>
          <w:sz w:val="32"/>
          <w:szCs w:val="32"/>
          <w:lang w:val="en-US" w:eastAsia="zh-CN"/>
        </w:rPr>
        <w:t>乙</w:t>
      </w:r>
      <w:r>
        <w:rPr>
          <w:rFonts w:hint="eastAsia" w:ascii="方正仿宋_GBK" w:hAnsi="方正仿宋_GBK" w:eastAsia="方正仿宋_GBK" w:cs="方正仿宋_GBK"/>
          <w:color w:val="auto"/>
          <w:sz w:val="32"/>
          <w:szCs w:val="32"/>
        </w:rPr>
        <w:t>方按</w:t>
      </w:r>
      <w:r>
        <w:rPr>
          <w:rFonts w:hint="eastAsia" w:ascii="方正仿宋_GBK" w:hAnsi="方正仿宋_GBK" w:eastAsia="方正仿宋_GBK" w:cs="方正仿宋_GBK"/>
          <w:color w:val="auto"/>
          <w:sz w:val="32"/>
          <w:szCs w:val="32"/>
          <w:lang w:val="en-US" w:eastAsia="zh-CN"/>
        </w:rPr>
        <w:t>实结算</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sz w:val="32"/>
          <w:szCs w:val="32"/>
        </w:rPr>
        <w:t>。</w:t>
      </w:r>
    </w:p>
    <w:p w14:paraId="42B78928">
      <w:pPr>
        <w:keepNext w:val="0"/>
        <w:keepLines w:val="0"/>
        <w:pageBreakBefore w:val="0"/>
        <w:kinsoku/>
        <w:wordWrap/>
        <w:overflowPunct/>
        <w:topLinePunct w:val="0"/>
        <w:autoSpaceDE/>
        <w:autoSpaceDN/>
        <w:bidi w:val="0"/>
        <w:spacing w:line="590" w:lineRule="exact"/>
        <w:ind w:firstLine="640" w:firstLineChars="200"/>
        <w:jc w:val="left"/>
        <w:textAlignment w:val="auto"/>
        <w:rPr>
          <w:rFonts w:hint="eastAsia"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四、</w:t>
      </w:r>
      <w:r>
        <w:rPr>
          <w:rFonts w:hint="eastAsia" w:ascii="方正黑体_GBK" w:hAnsi="方正黑体_GBK" w:eastAsia="方正黑体_GBK" w:cs="方正黑体_GBK"/>
          <w:b w:val="0"/>
          <w:bCs w:val="0"/>
          <w:color w:val="000000"/>
          <w:sz w:val="32"/>
          <w:szCs w:val="32"/>
        </w:rPr>
        <w:t>费用结算和发票开具</w:t>
      </w:r>
    </w:p>
    <w:p w14:paraId="762FCB82">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sz w:val="32"/>
          <w:szCs w:val="32"/>
        </w:rPr>
        <w:t>1.入库结算</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sz w:val="32"/>
          <w:szCs w:val="32"/>
        </w:rPr>
        <w:t>甲方1根据甲方2的收购进度预拨给甲方2收购款，甲方2按照货到进度付款</w:t>
      </w:r>
      <w:r>
        <w:rPr>
          <w:rFonts w:hint="eastAsia" w:ascii="方正仿宋_GBK" w:hAnsi="方正仿宋_GBK" w:eastAsia="方正仿宋_GBK" w:cs="方正仿宋_GBK"/>
          <w:color w:val="000000"/>
          <w:sz w:val="32"/>
          <w:szCs w:val="32"/>
          <w:lang w:eastAsia="zh-CN"/>
        </w:rPr>
        <w:t>。</w:t>
      </w:r>
      <w:r>
        <w:rPr>
          <w:rFonts w:hint="eastAsia" w:ascii="方正仿宋_GBK" w:hAnsi="方正仿宋_GBK" w:eastAsia="方正仿宋_GBK" w:cs="方正仿宋_GBK"/>
          <w:color w:val="000000" w:themeColor="text1"/>
          <w:sz w:val="32"/>
          <w:szCs w:val="32"/>
          <w14:textFill>
            <w14:solidFill>
              <w14:schemeClr w14:val="tx1"/>
            </w14:solidFill>
          </w14:textFill>
        </w:rPr>
        <w:t>乙方自行组织货源的，乙方向甲方2开具相应的增值税发票；甲方2自行组织收购的，甲方2自行开票结算。</w:t>
      </w:r>
    </w:p>
    <w:p w14:paraId="68C49A59">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2.销售结算</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乙方根据甲方通知，先款后货，凭借出库通知单提货，根据收款单位，由甲方向乙方开具相应的增值税发票。</w:t>
      </w:r>
    </w:p>
    <w:p w14:paraId="432B9CDD">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w:t>
      </w:r>
      <w:r>
        <w:rPr>
          <w:rFonts w:hint="eastAsia" w:ascii="方正仿宋_GBK" w:hAnsi="方正仿宋_GBK" w:eastAsia="方正仿宋_GBK" w:cs="方正仿宋_GBK"/>
          <w:sz w:val="32"/>
          <w:szCs w:val="32"/>
        </w:rPr>
        <w:t>进出库费用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color w:val="auto"/>
          <w:sz w:val="32"/>
          <w:szCs w:val="32"/>
        </w:rPr>
        <w:t>乙方组织进库时仓库散装车船板前费用由乙方承担（包括但不限于过筛费、扒车费、卸船费等）；出库时仓库散装车船板后费用由乙方承担。</w:t>
      </w:r>
    </w:p>
    <w:p w14:paraId="3FC75EFA">
      <w:pPr>
        <w:keepNext w:val="0"/>
        <w:keepLines w:val="0"/>
        <w:pageBreakBefore w:val="0"/>
        <w:tabs>
          <w:tab w:val="left" w:pos="1305"/>
        </w:tabs>
        <w:kinsoku/>
        <w:wordWrap/>
        <w:overflowPunct/>
        <w:topLinePunct w:val="0"/>
        <w:autoSpaceDE/>
        <w:autoSpaceDN/>
        <w:bidi w:val="0"/>
        <w:adjustRightInd w:val="0"/>
        <w:snapToGrid w:val="0"/>
        <w:spacing w:line="590" w:lineRule="exact"/>
        <w:ind w:firstLine="640" w:firstLineChars="200"/>
        <w:textAlignment w:val="auto"/>
        <w:rPr>
          <w:rFonts w:hint="eastAsia" w:ascii="方正黑体_GBK" w:hAnsi="方正黑体_GBK" w:eastAsia="方正黑体_GBK" w:cs="方正黑体_GBK"/>
          <w:b w:val="0"/>
          <w:bCs w:val="0"/>
          <w:color w:val="000000" w:themeColor="text1"/>
          <w:sz w:val="32"/>
          <w:szCs w:val="32"/>
          <w14:textFill>
            <w14:solidFill>
              <w14:schemeClr w14:val="tx1"/>
            </w14:solidFill>
          </w14:textFill>
        </w:rPr>
      </w:pPr>
      <w:r>
        <w:rPr>
          <w:rFonts w:hint="eastAsia" w:ascii="方正黑体_GBK" w:hAnsi="方正黑体_GBK" w:eastAsia="方正黑体_GBK" w:cs="方正黑体_GBK"/>
          <w:b w:val="0"/>
          <w:bCs w:val="0"/>
          <w:sz w:val="32"/>
          <w:szCs w:val="32"/>
        </w:rPr>
        <w:t>五、其他</w:t>
      </w:r>
      <w:r>
        <w:rPr>
          <w:rFonts w:hint="eastAsia" w:ascii="方正黑体_GBK" w:hAnsi="方正黑体_GBK" w:eastAsia="方正黑体_GBK" w:cs="方正黑体_GBK"/>
          <w:b w:val="0"/>
          <w:bCs w:val="0"/>
          <w:color w:val="000000" w:themeColor="text1"/>
          <w:sz w:val="32"/>
          <w:szCs w:val="32"/>
          <w14:textFill>
            <w14:solidFill>
              <w14:schemeClr w14:val="tx1"/>
            </w14:solidFill>
          </w14:textFill>
        </w:rPr>
        <w:t>条款：</w:t>
      </w:r>
    </w:p>
    <w:p w14:paraId="716929ED">
      <w:pPr>
        <w:keepNext w:val="0"/>
        <w:keepLines w:val="0"/>
        <w:pageBreakBefore w:val="0"/>
        <w:tabs>
          <w:tab w:val="left" w:pos="1305"/>
        </w:tabs>
        <w:kinsoku/>
        <w:wordWrap/>
        <w:overflowPunct/>
        <w:topLinePunct w:val="0"/>
        <w:autoSpaceDE/>
        <w:autoSpaceDN/>
        <w:bidi w:val="0"/>
        <w:adjustRightInd w:val="0"/>
        <w:snapToGrid w:val="0"/>
        <w:spacing w:line="59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乙方通过竞价交易的方式获得购销合作的权利，乙方按照甲方委托公告的要求参加竞价交易。本次购销双向交易采取以采竞销的交易方式。一次交易实现同一数量的地方储备粮（油）采购（轮入）和销售（轮出）。采购价格固定，竞价方只需对销售标的物的底价进行竞价，一旦竞价销售标的物竞价成交，则相对应的采购标的物同时成交，最终销售价以竞价交易确认的成交价为依据、并按本合同 “</w:t>
      </w:r>
      <w:r>
        <w:rPr>
          <w:rFonts w:hint="eastAsia" w:ascii="方正仿宋_GBK" w:hAnsi="方正仿宋_GBK" w:eastAsia="方正仿宋_GBK" w:cs="方正仿宋_GBK"/>
          <w:color w:val="auto"/>
          <w:sz w:val="32"/>
          <w:szCs w:val="32"/>
          <w:lang w:val="en-US" w:eastAsia="zh-CN"/>
        </w:rPr>
        <w:t>二</w:t>
      </w:r>
      <w:r>
        <w:rPr>
          <w:rFonts w:hint="eastAsia" w:ascii="方正仿宋_GBK" w:hAnsi="方正仿宋_GBK" w:eastAsia="方正仿宋_GBK" w:cs="方正仿宋_GBK"/>
          <w:color w:val="auto"/>
          <w:sz w:val="32"/>
          <w:szCs w:val="32"/>
        </w:rPr>
        <w:t>、2”条款计算确认。</w:t>
      </w:r>
    </w:p>
    <w:p w14:paraId="0010C55A">
      <w:pPr>
        <w:keepNext w:val="0"/>
        <w:keepLines w:val="0"/>
        <w:pageBreakBefore w:val="0"/>
        <w:tabs>
          <w:tab w:val="left" w:pos="1305"/>
        </w:tabs>
        <w:kinsoku/>
        <w:wordWrap/>
        <w:overflowPunct/>
        <w:topLinePunct w:val="0"/>
        <w:autoSpaceDE/>
        <w:autoSpaceDN/>
        <w:bidi w:val="0"/>
        <w:adjustRightInd w:val="0"/>
        <w:snapToGrid w:val="0"/>
        <w:spacing w:line="59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2.竞价成功获得合作购销权利后，乙方需与甲方签订本合同，原则上一周内不签订本合同，认定为乙方竞价中标后违约。 </w:t>
      </w:r>
    </w:p>
    <w:p w14:paraId="5AA53C8F">
      <w:pPr>
        <w:keepNext w:val="0"/>
        <w:keepLines w:val="0"/>
        <w:pageBreakBefore w:val="0"/>
        <w:kinsoku/>
        <w:wordWrap/>
        <w:overflowPunct/>
        <w:topLinePunct w:val="0"/>
        <w:autoSpaceDE/>
        <w:autoSpaceDN/>
        <w:bidi w:val="0"/>
        <w:spacing w:line="590" w:lineRule="exac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b/>
          <w:bCs/>
          <w:sz w:val="32"/>
          <w:szCs w:val="32"/>
          <w:lang w:val="en-US" w:eastAsia="zh-CN"/>
        </w:rPr>
        <w:t xml:space="preserve">    </w:t>
      </w:r>
      <w:r>
        <w:rPr>
          <w:rFonts w:hint="eastAsia" w:ascii="方正仿宋_GBK" w:hAnsi="方正仿宋_GBK" w:eastAsia="方正仿宋_GBK" w:cs="方正仿宋_GBK"/>
          <w:b w:val="0"/>
          <w:bCs w:val="0"/>
          <w:sz w:val="32"/>
          <w:szCs w:val="32"/>
          <w:lang w:val="en-US" w:eastAsia="zh-CN"/>
        </w:rPr>
        <w:t>3.</w:t>
      </w:r>
      <w:r>
        <w:rPr>
          <w:rFonts w:hint="eastAsia" w:ascii="方正仿宋_GBK" w:hAnsi="方正仿宋_GBK" w:eastAsia="方正仿宋_GBK" w:cs="方正仿宋_GBK"/>
          <w:color w:val="000000"/>
          <w:sz w:val="32"/>
          <w:szCs w:val="32"/>
        </w:rPr>
        <w:t>如遇政策调控，甲乙双方应无条件服从政府调控需要，互不承担违约责任。甲方按上级制定的调拨价格扣除相关税费后全额与乙方进行结算。</w:t>
      </w:r>
    </w:p>
    <w:p w14:paraId="7113BE21">
      <w:pPr>
        <w:keepNext w:val="0"/>
        <w:keepLines w:val="0"/>
        <w:pageBreakBefore w:val="0"/>
        <w:kinsoku/>
        <w:wordWrap/>
        <w:overflowPunct/>
        <w:topLinePunct w:val="0"/>
        <w:autoSpaceDE/>
        <w:autoSpaceDN/>
        <w:bidi w:val="0"/>
        <w:spacing w:line="590" w:lineRule="exac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 xml:space="preserve">   </w:t>
      </w:r>
      <w:r>
        <w:rPr>
          <w:rFonts w:hint="eastAsia" w:ascii="方正仿宋_GBK" w:hAnsi="方正仿宋_GBK" w:eastAsia="方正仿宋_GBK" w:cs="方正仿宋_GBK"/>
          <w:color w:val="000000"/>
          <w:sz w:val="32"/>
          <w:szCs w:val="32"/>
          <w:lang w:val="en-US" w:eastAsia="zh-CN"/>
        </w:rPr>
        <w:t>4.</w:t>
      </w:r>
      <w:r>
        <w:rPr>
          <w:rFonts w:hint="eastAsia" w:ascii="方正仿宋_GBK" w:hAnsi="方正仿宋_GBK" w:eastAsia="方正仿宋_GBK" w:cs="方正仿宋_GBK"/>
          <w:sz w:val="32"/>
          <w:szCs w:val="32"/>
        </w:rPr>
        <w:t>粮食入库后由甲方2保管，并确保保管期间的入库粮食数量真实、质量良好。储存期间需符合地方储备粮管理规定，入库完毕后双方共同确认数量和质量。</w:t>
      </w:r>
    </w:p>
    <w:p w14:paraId="6708394F">
      <w:pPr>
        <w:keepNext w:val="0"/>
        <w:keepLines w:val="0"/>
        <w:pageBreakBefore w:val="0"/>
        <w:tabs>
          <w:tab w:val="left" w:pos="690"/>
        </w:tabs>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lang w:val="en-US" w:eastAsia="zh-CN"/>
        </w:rPr>
        <w:t>5.</w:t>
      </w:r>
      <w:r>
        <w:rPr>
          <w:rFonts w:hint="eastAsia" w:ascii="方正仿宋_GBK" w:hAnsi="方正仿宋_GBK" w:eastAsia="方正仿宋_GBK" w:cs="方正仿宋_GBK"/>
          <w:sz w:val="32"/>
          <w:szCs w:val="32"/>
        </w:rPr>
        <w:t>该批粮食的实际水杂减量和保管损耗由乙方承担。提货时甲方2每开一个仓，乙方必须在</w:t>
      </w:r>
      <w:r>
        <w:rPr>
          <w:rFonts w:hint="eastAsia" w:ascii="方正仿宋_GBK" w:hAnsi="方正仿宋_GBK" w:eastAsia="方正仿宋_GBK" w:cs="方正仿宋_GBK"/>
          <w:sz w:val="32"/>
          <w:szCs w:val="32"/>
          <w:lang w:val="en-US" w:eastAsia="zh-CN"/>
        </w:rPr>
        <w:t>30</w:t>
      </w:r>
      <w:r>
        <w:rPr>
          <w:rFonts w:hint="eastAsia" w:ascii="方正仿宋_GBK" w:hAnsi="方正仿宋_GBK" w:eastAsia="方正仿宋_GBK" w:cs="方正仿宋_GBK"/>
          <w:sz w:val="32"/>
          <w:szCs w:val="32"/>
        </w:rPr>
        <w:t>日历日内提完，避免动仓后粮食质量下降</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因乙方未按要求及时</w:t>
      </w:r>
      <w:r>
        <w:rPr>
          <w:rFonts w:hint="eastAsia" w:ascii="方正仿宋_GBK" w:hAnsi="方正仿宋_GBK" w:eastAsia="方正仿宋_GBK" w:cs="方正仿宋_GBK"/>
          <w:sz w:val="32"/>
          <w:szCs w:val="32"/>
          <w:lang w:val="en-US" w:eastAsia="zh-CN"/>
        </w:rPr>
        <w:t>提货</w:t>
      </w:r>
      <w:r>
        <w:rPr>
          <w:rFonts w:hint="eastAsia" w:ascii="方正仿宋_GBK" w:hAnsi="方正仿宋_GBK" w:eastAsia="方正仿宋_GBK" w:cs="方正仿宋_GBK"/>
          <w:sz w:val="32"/>
          <w:szCs w:val="32"/>
        </w:rPr>
        <w:t>造成的粮食质量等损失均由乙方负全责</w:t>
      </w:r>
      <w:r>
        <w:rPr>
          <w:rFonts w:hint="eastAsia" w:ascii="方正仿宋_GBK" w:hAnsi="方正仿宋_GBK" w:eastAsia="方正仿宋_GBK" w:cs="方正仿宋_GBK"/>
          <w:sz w:val="32"/>
          <w:szCs w:val="32"/>
          <w:lang w:eastAsia="zh-CN"/>
        </w:rPr>
        <w:t>。</w:t>
      </w:r>
    </w:p>
    <w:p w14:paraId="14B58311">
      <w:pPr>
        <w:keepNext w:val="0"/>
        <w:keepLines w:val="0"/>
        <w:pageBreakBefore w:val="0"/>
        <w:tabs>
          <w:tab w:val="left" w:pos="690"/>
        </w:tabs>
        <w:kinsoku/>
        <w:wordWrap/>
        <w:overflowPunct/>
        <w:topLinePunct w:val="0"/>
        <w:autoSpaceDE/>
        <w:autoSpaceDN/>
        <w:bidi w:val="0"/>
        <w:spacing w:line="59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涉及储备粮业务的各项补贴与乙方无关。</w:t>
      </w:r>
    </w:p>
    <w:p w14:paraId="51B04399">
      <w:pPr>
        <w:keepNext w:val="0"/>
        <w:keepLines w:val="0"/>
        <w:pageBreakBefore w:val="0"/>
        <w:kinsoku/>
        <w:wordWrap/>
        <w:overflowPunct/>
        <w:topLinePunct w:val="0"/>
        <w:autoSpaceDE/>
        <w:autoSpaceDN/>
        <w:bidi w:val="0"/>
        <w:spacing w:line="59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六、违约责任</w:t>
      </w:r>
    </w:p>
    <w:p w14:paraId="57DCF8E9">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1.乙方不能按合同时间、数量和质量送达，影响甲方储备入库计划，按违约处理，乙方保证金归甲方所有，合同终止。</w:t>
      </w:r>
    </w:p>
    <w:p w14:paraId="13EDC567">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如乙方逾期未提清约定数量，则视作乙方违约，乙方需支付给甲方总货款20%的违约金，未提数量甲方不再销售给乙方，而由甲方另行销售，货款用于偿还甲方前期购粮款及因乙方违约造成的损失，不足部分甲方保留向乙方追讨补足价差的权利。</w:t>
      </w:r>
    </w:p>
    <w:p w14:paraId="27BBBEF7">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b w:val="0"/>
          <w:bCs w:val="0"/>
          <w:sz w:val="32"/>
          <w:szCs w:val="32"/>
        </w:rPr>
      </w:pPr>
      <w:r>
        <w:rPr>
          <w:rFonts w:hint="eastAsia" w:ascii="方正黑体_GBK" w:hAnsi="方正黑体_GBK" w:eastAsia="方正黑体_GBK" w:cs="方正黑体_GBK"/>
          <w:sz w:val="32"/>
          <w:szCs w:val="32"/>
        </w:rPr>
        <w:t>七、</w:t>
      </w:r>
      <w:r>
        <w:rPr>
          <w:rFonts w:hint="eastAsia" w:ascii="方正仿宋_GBK" w:hAnsi="方正仿宋_GBK" w:eastAsia="方正仿宋_GBK" w:cs="方正仿宋_GBK"/>
          <w:b w:val="0"/>
          <w:bCs w:val="0"/>
          <w:sz w:val="32"/>
          <w:szCs w:val="32"/>
        </w:rPr>
        <w:t>合同履约结束后，双方无任何经济纠纷，甲方应及时退还乙方尚未冲抵的风险保证金。</w:t>
      </w:r>
    </w:p>
    <w:p w14:paraId="211374BE">
      <w:pPr>
        <w:keepNext w:val="0"/>
        <w:keepLines w:val="0"/>
        <w:pageBreakBefore w:val="0"/>
        <w:tabs>
          <w:tab w:val="left" w:pos="690"/>
        </w:tabs>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八、</w:t>
      </w:r>
      <w:r>
        <w:rPr>
          <w:rFonts w:hint="eastAsia" w:ascii="方正仿宋_GBK" w:hAnsi="方正仿宋_GBK" w:eastAsia="方正仿宋_GBK" w:cs="方正仿宋_GBK"/>
          <w:sz w:val="32"/>
          <w:szCs w:val="32"/>
        </w:rPr>
        <w:t>解决纠纷的方式：协商解决或按《民法典》通过法律程序解决。出现合同纠纷和未尽事宜，双方可协商，签订补充协议，补充协议与本协议具有同等法律效力，不能协商一致，可向原告所在地人民法院起诉。</w:t>
      </w:r>
    </w:p>
    <w:p w14:paraId="1EAE851E">
      <w:pPr>
        <w:keepNext w:val="0"/>
        <w:keepLines w:val="0"/>
        <w:pageBreakBefore w:val="0"/>
        <w:tabs>
          <w:tab w:val="left" w:pos="690"/>
        </w:tabs>
        <w:kinsoku/>
        <w:wordWrap/>
        <w:overflowPunct/>
        <w:topLinePunct w:val="0"/>
        <w:autoSpaceDE/>
        <w:autoSpaceDN/>
        <w:bidi w:val="0"/>
        <w:spacing w:line="590" w:lineRule="exact"/>
        <w:ind w:firstLine="640" w:firstLineChars="200"/>
        <w:textAlignment w:val="auto"/>
        <w:rPr>
          <w:rFonts w:hint="eastAsia" w:ascii="方正仿宋_GBK" w:hAnsi="方正仿宋_GBK" w:eastAsia="方正仿宋_GBK" w:cs="方正仿宋_GBK"/>
          <w:i w:val="0"/>
          <w:sz w:val="32"/>
          <w:szCs w:val="32"/>
        </w:rPr>
      </w:pPr>
      <w:r>
        <w:rPr>
          <w:rFonts w:hint="eastAsia" w:ascii="方正黑体_GBK" w:hAnsi="方正黑体_GBK" w:eastAsia="方正黑体_GBK" w:cs="方正黑体_GBK"/>
          <w:sz w:val="32"/>
          <w:szCs w:val="32"/>
        </w:rPr>
        <w:t>九、</w:t>
      </w:r>
      <w:r>
        <w:rPr>
          <w:rFonts w:hint="eastAsia" w:ascii="方正仿宋_GBK" w:hAnsi="方正仿宋_GBK" w:eastAsia="方正仿宋_GBK" w:cs="方正仿宋_GBK"/>
          <w:sz w:val="32"/>
          <w:szCs w:val="32"/>
        </w:rPr>
        <w:t>本合同一式叁份，本合同双方签字盖章后成立，乙方按第</w:t>
      </w:r>
      <w:r>
        <w:rPr>
          <w:rFonts w:hint="eastAsia" w:ascii="方正仿宋_GBK" w:hAnsi="方正仿宋_GBK" w:eastAsia="方正仿宋_GBK" w:cs="方正仿宋_GBK"/>
          <w:sz w:val="32"/>
          <w:szCs w:val="32"/>
          <w:lang w:val="en-US" w:eastAsia="zh-CN"/>
        </w:rPr>
        <w:t>三</w:t>
      </w:r>
      <w:r>
        <w:rPr>
          <w:rFonts w:hint="eastAsia" w:ascii="方正仿宋_GBK" w:hAnsi="方正仿宋_GBK" w:eastAsia="方正仿宋_GBK" w:cs="方正仿宋_GBK"/>
          <w:sz w:val="32"/>
          <w:szCs w:val="32"/>
        </w:rPr>
        <w:t>条约定将</w:t>
      </w:r>
      <w:r>
        <w:rPr>
          <w:rFonts w:hint="eastAsia" w:ascii="方正仿宋_GBK" w:hAnsi="方正仿宋_GBK" w:eastAsia="方正仿宋_GBK" w:cs="方正仿宋_GBK"/>
          <w:color w:val="000000" w:themeColor="text1"/>
          <w:sz w:val="32"/>
          <w:szCs w:val="32"/>
          <w14:textFill>
            <w14:solidFill>
              <w14:schemeClr w14:val="tx1"/>
            </w14:solidFill>
          </w14:textFill>
        </w:rPr>
        <w:t>风险保证金付至甲方账户后生效</w:t>
      </w:r>
      <w:r>
        <w:rPr>
          <w:rFonts w:hint="eastAsia" w:ascii="方正仿宋_GBK" w:hAnsi="方正仿宋_GBK" w:eastAsia="方正仿宋_GBK" w:cs="方正仿宋_GBK"/>
          <w:sz w:val="32"/>
          <w:szCs w:val="32"/>
        </w:rPr>
        <w:t>，本合同有效期至出库结束止，本合同相关传真件视同原件，传真件与原件不符的，以原件为准。</w:t>
      </w:r>
    </w:p>
    <w:p w14:paraId="6D7F3EF6">
      <w:pPr>
        <w:keepNext w:val="0"/>
        <w:keepLines w:val="0"/>
        <w:pageBreakBefore w:val="0"/>
        <w:tabs>
          <w:tab w:val="left" w:pos="690"/>
        </w:tabs>
        <w:kinsoku/>
        <w:wordWrap/>
        <w:overflowPunct/>
        <w:topLinePunct w:val="0"/>
        <w:autoSpaceDE/>
        <w:autoSpaceDN/>
        <w:bidi w:val="0"/>
        <w:spacing w:line="59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i w:val="0"/>
          <w:sz w:val="32"/>
          <w:szCs w:val="32"/>
        </w:rPr>
        <w:t>（以下无正文）</w:t>
      </w:r>
    </w:p>
    <w:p w14:paraId="1B3E137A">
      <w:pPr>
        <w:tabs>
          <w:tab w:val="left" w:pos="690"/>
        </w:tabs>
        <w:spacing w:line="640" w:lineRule="exact"/>
        <w:ind w:firstLine="640" w:firstLineChars="200"/>
        <w:rPr>
          <w:rFonts w:hint="eastAsia" w:ascii="方正仿宋_GBK" w:hAnsi="方正仿宋_GBK" w:eastAsia="方正仿宋_GBK" w:cs="方正仿宋_GBK"/>
          <w:sz w:val="32"/>
          <w:szCs w:val="32"/>
        </w:rPr>
      </w:pPr>
    </w:p>
    <w:p w14:paraId="7160FA57">
      <w:pPr>
        <w:tabs>
          <w:tab w:val="left" w:pos="690"/>
        </w:tabs>
        <w:spacing w:line="640" w:lineRule="exact"/>
        <w:ind w:firstLine="640" w:firstLineChars="200"/>
        <w:rPr>
          <w:rFonts w:hint="eastAsia" w:ascii="方正仿宋_GBK" w:hAnsi="方正仿宋_GBK" w:eastAsia="方正仿宋_GBK" w:cs="方正仿宋_GBK"/>
          <w:sz w:val="32"/>
          <w:szCs w:val="32"/>
        </w:rPr>
      </w:pPr>
    </w:p>
    <w:p w14:paraId="2004DEFF">
      <w:pPr>
        <w:tabs>
          <w:tab w:val="left" w:pos="690"/>
        </w:tabs>
        <w:spacing w:line="640" w:lineRule="exact"/>
        <w:ind w:firstLine="640" w:firstLineChars="200"/>
        <w:rPr>
          <w:rFonts w:hint="eastAsia" w:ascii="方正仿宋_GBK" w:hAnsi="方正仿宋_GBK" w:eastAsia="方正仿宋_GBK" w:cs="方正仿宋_GBK"/>
          <w:sz w:val="32"/>
          <w:szCs w:val="32"/>
        </w:rPr>
      </w:pPr>
    </w:p>
    <w:p w14:paraId="775BFDB8">
      <w:pPr>
        <w:tabs>
          <w:tab w:val="left" w:pos="690"/>
        </w:tabs>
        <w:spacing w:line="640" w:lineRule="exact"/>
        <w:ind w:firstLine="640" w:firstLineChars="200"/>
        <w:rPr>
          <w:rFonts w:hint="eastAsia" w:ascii="方正仿宋_GBK" w:hAnsi="方正仿宋_GBK" w:eastAsia="方正仿宋_GBK" w:cs="方正仿宋_GBK"/>
          <w:sz w:val="32"/>
          <w:szCs w:val="32"/>
        </w:rPr>
      </w:pPr>
    </w:p>
    <w:p w14:paraId="192532D0">
      <w:pPr>
        <w:tabs>
          <w:tab w:val="left" w:pos="690"/>
        </w:tabs>
        <w:spacing w:line="640" w:lineRule="exact"/>
        <w:ind w:firstLine="640" w:firstLineChars="200"/>
        <w:rPr>
          <w:rFonts w:hint="eastAsia" w:ascii="方正仿宋_GBK" w:hAnsi="方正仿宋_GBK" w:eastAsia="方正仿宋_GBK" w:cs="方正仿宋_GBK"/>
          <w:sz w:val="32"/>
          <w:szCs w:val="32"/>
        </w:rPr>
      </w:pPr>
    </w:p>
    <w:p w14:paraId="06C7530F">
      <w:pPr>
        <w:tabs>
          <w:tab w:val="left" w:pos="690"/>
        </w:tabs>
        <w:spacing w:line="640" w:lineRule="exact"/>
        <w:ind w:firstLine="640" w:firstLineChars="200"/>
        <w:rPr>
          <w:rFonts w:hint="eastAsia" w:ascii="方正仿宋_GBK" w:hAnsi="方正仿宋_GBK" w:eastAsia="方正仿宋_GBK" w:cs="方正仿宋_GBK"/>
          <w:sz w:val="32"/>
          <w:szCs w:val="32"/>
        </w:rPr>
      </w:pPr>
    </w:p>
    <w:p w14:paraId="7B574B1A">
      <w:pPr>
        <w:tabs>
          <w:tab w:val="left" w:pos="690"/>
        </w:tabs>
        <w:spacing w:line="640" w:lineRule="exact"/>
        <w:ind w:firstLine="640" w:firstLineChars="200"/>
        <w:rPr>
          <w:rFonts w:hint="eastAsia" w:ascii="方正仿宋_GBK" w:hAnsi="方正仿宋_GBK" w:eastAsia="方正仿宋_GBK" w:cs="方正仿宋_GBK"/>
          <w:sz w:val="32"/>
          <w:szCs w:val="32"/>
        </w:rPr>
      </w:pPr>
    </w:p>
    <w:p w14:paraId="3C058099">
      <w:pPr>
        <w:tabs>
          <w:tab w:val="left" w:pos="690"/>
        </w:tabs>
        <w:spacing w:line="640" w:lineRule="exact"/>
        <w:ind w:firstLine="640" w:firstLineChars="200"/>
        <w:rPr>
          <w:rFonts w:hint="eastAsia" w:ascii="方正仿宋_GBK" w:hAnsi="方正仿宋_GBK" w:eastAsia="方正仿宋_GBK" w:cs="方正仿宋_GBK"/>
          <w:sz w:val="32"/>
          <w:szCs w:val="32"/>
        </w:rPr>
      </w:pPr>
    </w:p>
    <w:p w14:paraId="78ABD1D8">
      <w:pPr>
        <w:tabs>
          <w:tab w:val="left" w:pos="690"/>
        </w:tabs>
        <w:spacing w:line="640" w:lineRule="exact"/>
        <w:ind w:firstLine="640" w:firstLineChars="200"/>
        <w:rPr>
          <w:rFonts w:hint="eastAsia" w:ascii="方正仿宋_GBK" w:hAnsi="方正仿宋_GBK" w:eastAsia="方正仿宋_GBK" w:cs="方正仿宋_GBK"/>
          <w:sz w:val="32"/>
          <w:szCs w:val="32"/>
        </w:rPr>
      </w:pPr>
    </w:p>
    <w:p w14:paraId="6A90D9C0">
      <w:pPr>
        <w:tabs>
          <w:tab w:val="left" w:pos="690"/>
        </w:tabs>
        <w:spacing w:line="640" w:lineRule="exact"/>
        <w:ind w:firstLine="640" w:firstLineChars="200"/>
        <w:rPr>
          <w:rFonts w:hint="eastAsia" w:ascii="方正仿宋_GBK" w:hAnsi="方正仿宋_GBK" w:eastAsia="方正仿宋_GBK" w:cs="方正仿宋_GBK"/>
          <w:sz w:val="32"/>
          <w:szCs w:val="32"/>
        </w:rPr>
      </w:pPr>
    </w:p>
    <w:p w14:paraId="021CB99B">
      <w:pPr>
        <w:tabs>
          <w:tab w:val="left" w:pos="690"/>
        </w:tabs>
        <w:spacing w:line="640" w:lineRule="exact"/>
        <w:ind w:firstLine="640" w:firstLineChars="200"/>
        <w:rPr>
          <w:rFonts w:hint="eastAsia" w:ascii="方正仿宋_GBK" w:hAnsi="方正仿宋_GBK" w:eastAsia="方正仿宋_GBK" w:cs="方正仿宋_GBK"/>
          <w:sz w:val="32"/>
          <w:szCs w:val="32"/>
        </w:rPr>
      </w:pPr>
    </w:p>
    <w:p w14:paraId="1CA91A20">
      <w:pPr>
        <w:tabs>
          <w:tab w:val="left" w:pos="690"/>
        </w:tabs>
        <w:spacing w:line="640" w:lineRule="exact"/>
        <w:ind w:firstLine="640" w:firstLineChars="200"/>
        <w:rPr>
          <w:rFonts w:hint="eastAsia" w:ascii="方正仿宋_GBK" w:hAnsi="方正仿宋_GBK" w:eastAsia="方正仿宋_GBK" w:cs="方正仿宋_GBK"/>
          <w:sz w:val="32"/>
          <w:szCs w:val="32"/>
        </w:rPr>
      </w:pPr>
    </w:p>
    <w:p w14:paraId="57D9D48B">
      <w:pPr>
        <w:spacing w:line="408"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甲  方1：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 甲  方2：</w:t>
      </w:r>
    </w:p>
    <w:p w14:paraId="66DE9581">
      <w:pPr>
        <w:spacing w:line="408"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pacing w:val="-20"/>
          <w:sz w:val="32"/>
          <w:szCs w:val="32"/>
        </w:rPr>
        <w:t>江苏省储备粮管理有限公司</w:t>
      </w:r>
      <w:r>
        <w:rPr>
          <w:rFonts w:hint="eastAsia" w:ascii="方正仿宋_GBK" w:hAnsi="方正仿宋_GBK" w:eastAsia="方正仿宋_GBK" w:cs="方正仿宋_GBK"/>
          <w:spacing w:val="-20"/>
          <w:sz w:val="32"/>
          <w:szCs w:val="32"/>
          <w:lang w:val="en-US" w:eastAsia="zh-CN"/>
        </w:rPr>
        <w:t xml:space="preserve">        </w:t>
      </w:r>
      <w:r>
        <w:rPr>
          <w:rFonts w:hint="eastAsia" w:ascii="仿宋" w:hAnsi="仿宋" w:eastAsia="仿宋" w:cs="宋体"/>
          <w:color w:val="auto"/>
          <w:spacing w:val="-20"/>
          <w:sz w:val="32"/>
          <w:szCs w:val="32"/>
          <w:u w:val="none"/>
          <w:lang w:eastAsia="zh-CN"/>
        </w:rPr>
        <w:t>江苏宿迁天丰粮食收储有限公司</w:t>
      </w:r>
      <w:r>
        <w:rPr>
          <w:rFonts w:hint="eastAsia" w:ascii="仿宋" w:hAnsi="仿宋" w:eastAsia="仿宋" w:cs="宋体"/>
          <w:color w:val="auto"/>
          <w:spacing w:val="-20"/>
          <w:sz w:val="32"/>
          <w:szCs w:val="32"/>
          <w:u w:val="none"/>
          <w:lang w:val="en-US" w:eastAsia="zh-CN"/>
        </w:rPr>
        <w:t xml:space="preserve">     </w:t>
      </w:r>
      <w:r>
        <w:rPr>
          <w:rFonts w:hint="eastAsia" w:ascii="方正仿宋_GBK" w:hAnsi="方正仿宋_GBK" w:eastAsia="方正仿宋_GBK" w:cs="方正仿宋_GBK"/>
          <w:sz w:val="32"/>
          <w:szCs w:val="32"/>
        </w:rPr>
        <w:t xml:space="preserve">法人代表（委托人）：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法人代表（委托人）：</w:t>
      </w:r>
    </w:p>
    <w:p w14:paraId="2CC4DE88">
      <w:pPr>
        <w:spacing w:line="408" w:lineRule="auto"/>
        <w:ind w:firstLine="1920" w:firstLineChars="6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p>
    <w:p w14:paraId="354B37C9">
      <w:pPr>
        <w:spacing w:line="408"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日    期：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    期：</w:t>
      </w:r>
    </w:p>
    <w:p w14:paraId="6F745451">
      <w:pPr>
        <w:spacing w:line="408" w:lineRule="auto"/>
        <w:rPr>
          <w:rFonts w:hint="eastAsia" w:ascii="方正仿宋_GBK" w:hAnsi="方正仿宋_GBK" w:eastAsia="方正仿宋_GBK" w:cs="方正仿宋_GBK"/>
          <w:sz w:val="32"/>
          <w:szCs w:val="32"/>
        </w:rPr>
      </w:pPr>
    </w:p>
    <w:p w14:paraId="4169F9FA">
      <w:pPr>
        <w:rPr>
          <w:rFonts w:hint="eastAsia" w:ascii="方正仿宋_GBK" w:hAnsi="方正仿宋_GBK" w:eastAsia="方正仿宋_GBK" w:cs="方正仿宋_GBK"/>
          <w:sz w:val="32"/>
          <w:szCs w:val="32"/>
        </w:rPr>
      </w:pPr>
    </w:p>
    <w:p w14:paraId="6E299033">
      <w:pPr>
        <w:spacing w:line="408" w:lineRule="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乙  方：</w:t>
      </w:r>
    </w:p>
    <w:p w14:paraId="674F708B">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法人代表（委托人）：</w:t>
      </w:r>
    </w:p>
    <w:p w14:paraId="7D5186A3">
      <w:pPr>
        <w:rPr>
          <w:rFonts w:hint="default" w:ascii="Times New Roman" w:hAnsi="Times New Roman" w:eastAsia="方正仿宋_GBK" w:cs="Times New Roman"/>
          <w:sz w:val="32"/>
          <w:szCs w:val="32"/>
        </w:rPr>
      </w:pPr>
    </w:p>
    <w:p w14:paraId="705729F0">
      <w:pPr>
        <w:rPr>
          <w:rFonts w:hint="default" w:ascii="Times New Roman" w:hAnsi="Times New Roman" w:cs="Times New Roman"/>
          <w:lang w:eastAsia="zh-CN"/>
        </w:rPr>
      </w:pPr>
      <w:r>
        <w:rPr>
          <w:rFonts w:hint="default" w:ascii="Times New Roman" w:hAnsi="Times New Roman" w:eastAsia="方正仿宋_GBK" w:cs="Times New Roman"/>
          <w:sz w:val="32"/>
          <w:szCs w:val="32"/>
        </w:rPr>
        <w:t>日    期</w:t>
      </w:r>
    </w:p>
    <w:sectPr>
      <w:headerReference r:id="rId3" w:type="default"/>
      <w:footerReference r:id="rId4" w:type="default"/>
      <w:pgSz w:w="11906" w:h="16838"/>
      <w:pgMar w:top="1984" w:right="1531" w:bottom="1701"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8E271">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F64C9F">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EF64C9F">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19468">
    <w:pPr>
      <w:pStyle w:val="3"/>
    </w:pPr>
    <w:r>
      <w:rPr>
        <w:sz w:val="18"/>
      </w:rPr>
      <w:pict>
        <v:shape id="PowerPlusWaterMarkObject34473" o:spid="_x0000_s4097" o:spt="136" type="#_x0000_t136" style="position:absolute;left:0pt;height:48.3pt;width:508.95pt;mso-position-horizontal:center;mso-position-horizontal-relative:margin;mso-position-vertical:center;mso-position-vertical-relative:margin;rotation:-2949120f;z-index:-251657216;mso-width-relative:page;mso-height-relative:page;" fillcolor="#C0C0C0" filled="t" stroked="f" coordsize="21600,21600" adj="10800">
          <v:path/>
          <v:fill on="t" opacity="48496f" focussize="0,0"/>
          <v:stroke on="f"/>
          <v:imagedata o:title=""/>
          <o:lock v:ext="edit" aspectratio="t"/>
          <v:textpath on="t" fitshape="t" fitpath="t" trim="t" xscale="f" string="江苏省储备粮管理有限公司" style="font-family:方正黑体_GBK;font-size:48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M2M2YTM0NTUyM2JhZmE0ODhkYWM1Y2YzOTJkZGUifQ=="/>
  </w:docVars>
  <w:rsids>
    <w:rsidRoot w:val="71AD454A"/>
    <w:rsid w:val="0049420B"/>
    <w:rsid w:val="02DF23FB"/>
    <w:rsid w:val="099A7F24"/>
    <w:rsid w:val="125E1CF2"/>
    <w:rsid w:val="14B359E1"/>
    <w:rsid w:val="162D6610"/>
    <w:rsid w:val="18C41EDB"/>
    <w:rsid w:val="3673348D"/>
    <w:rsid w:val="398D5E57"/>
    <w:rsid w:val="3C760179"/>
    <w:rsid w:val="3E332998"/>
    <w:rsid w:val="4DDB2DFD"/>
    <w:rsid w:val="58861E86"/>
    <w:rsid w:val="5D2D4BEE"/>
    <w:rsid w:val="60D63645"/>
    <w:rsid w:val="63031A67"/>
    <w:rsid w:val="66DA6E2B"/>
    <w:rsid w:val="6C417D7E"/>
    <w:rsid w:val="71AD454A"/>
    <w:rsid w:val="74E8455B"/>
    <w:rsid w:val="75D4705E"/>
    <w:rsid w:val="7FBB4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3199</Words>
  <Characters>3365</Characters>
  <Lines>1</Lines>
  <Paragraphs>1</Paragraphs>
  <TotalTime>18</TotalTime>
  <ScaleCrop>false</ScaleCrop>
  <LinksUpToDate>false</LinksUpToDate>
  <CharactersWithSpaces>3548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2024-10-12T04:39:00Z</dcterms:created>
  <dc:creator>无双</dc:creator>
  <cp:lastModifiedBy>无双</cp:lastModifiedBy>
  <dcterms:modified xsi:type="dcterms:W3CDTF">2025-01-10T01:59:22Z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F4EEFA9EF2414429925BA6CF095C52EF_13</vt:lpwstr>
  </property>
  <property fmtid="{D5CDD505-2E9C-101B-9397-08002B2CF9AE}" pid="4" name="KSOTemplateDocerSaveRecord">
    <vt:lpwstr>eyJoZGlkIjoiNzA1M2M2YTM0NTUyM2JhZmE0ODhkYWM1Y2YzOTJkZGUiLCJ1c2VySWQiOiI1NDcwMjI4OTcifQ==</vt:lpwstr>
  </property>
</Properties>
</file>