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273A0A">
      <w:pPr>
        <w:spacing w:line="600" w:lineRule="exact"/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小麦</w:t>
      </w:r>
      <w:r>
        <w:rPr>
          <w:rFonts w:hint="eastAsia" w:ascii="黑体" w:hAnsi="黑体" w:eastAsia="黑体" w:cs="黑体"/>
          <w:sz w:val="44"/>
          <w:szCs w:val="44"/>
        </w:rPr>
        <w:t>购销合作合同</w:t>
      </w:r>
    </w:p>
    <w:p w14:paraId="421981AF">
      <w:pPr>
        <w:spacing w:line="500" w:lineRule="exact"/>
        <w:rPr>
          <w:rFonts w:ascii="仿宋_GB2312" w:eastAsia="仿宋_GB2312"/>
          <w:sz w:val="30"/>
          <w:szCs w:val="30"/>
        </w:rPr>
      </w:pPr>
    </w:p>
    <w:p w14:paraId="430AF6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甲方：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南通粮食集团海安储备粮管理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有限公司</w:t>
      </w:r>
    </w:p>
    <w:p w14:paraId="06EAF7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乙方：</w:t>
      </w:r>
    </w:p>
    <w:p w14:paraId="32072F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Theme="minorEastAsia" w:hAnsiTheme="minorEastAsia" w:eastAsiaTheme="minorEastAsia" w:cstheme="minorEastAsia"/>
          <w:sz w:val="30"/>
          <w:szCs w:val="30"/>
          <w:lang w:eastAsia="zh-CN"/>
        </w:rPr>
      </w:pPr>
    </w:p>
    <w:p w14:paraId="579BD2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为充分发挥各自优势，合理配置粮源，依据江苏粮油商品交易市场竞价结果，就甲方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采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购乙方组织的202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年产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新小麦 3400吨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，同时由乙方根据甲方的出库时间要求负责全部回购，达成以下协议：</w:t>
      </w:r>
    </w:p>
    <w:p w14:paraId="3FB6B2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一、甲方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采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购乙方组织的202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年产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新小麦3400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吨，乙方必须在202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年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7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20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日前将所有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小麦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送至甲方指定仓库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（详见清单标的）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 w14:paraId="3417D0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二、入库价格为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2460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元/吨（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固定价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）。</w:t>
      </w:r>
    </w:p>
    <w:p w14:paraId="0522DF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三、质量标准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和数量确认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：</w:t>
      </w:r>
    </w:p>
    <w:p w14:paraId="737F60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质量标准：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  <w:u w:val="single"/>
        </w:rPr>
        <w:t>202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年度产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  <w:lang w:val="en-US" w:eastAsia="zh-CN"/>
        </w:rPr>
        <w:t>新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小麦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  <w:lang w:eastAsia="zh-CN"/>
        </w:rPr>
        <w:t>，</w:t>
      </w:r>
      <w:r>
        <w:rPr>
          <w:rFonts w:hint="eastAsia" w:ascii="仿宋" w:hAnsi="仿宋" w:eastAsia="仿宋" w:cs="仿宋"/>
          <w:sz w:val="30"/>
          <w:szCs w:val="30"/>
        </w:rPr>
        <w:t>严禁掺混陈粮，违者没收全部保证金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①容重≥750g/L；②水分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  <w:lang w:val="en-US" w:eastAsia="zh-CN"/>
        </w:rPr>
        <w:t>≤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1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  <w:lang w:val="en-US" w:eastAsia="zh-CN"/>
        </w:rPr>
        <w:t>2.5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%，</w:t>
      </w:r>
      <w:r>
        <w:rPr>
          <w:rFonts w:hint="eastAsia" w:ascii="仿宋" w:hAnsi="仿宋" w:eastAsia="仿宋" w:cs="仿宋"/>
          <w:color w:val="333333"/>
          <w:sz w:val="30"/>
          <w:szCs w:val="30"/>
          <w:shd w:val="clear" w:fill="FFFFFF"/>
        </w:rPr>
        <w:t>水分超过12.5%(不含)每超0.1%扣量0.13%</w:t>
      </w:r>
      <w:r>
        <w:rPr>
          <w:rFonts w:hint="eastAsia" w:ascii="仿宋" w:hAnsi="仿宋" w:eastAsia="仿宋" w:cs="仿宋"/>
          <w:color w:val="333333"/>
          <w:sz w:val="30"/>
          <w:szCs w:val="30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水分＞13.0%的拒收；③杂质≤1%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其中无机杂质≤0.5%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</w:rPr>
        <w:t>，杂质＞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 w:cs="仿宋"/>
          <w:sz w:val="30"/>
          <w:szCs w:val="30"/>
        </w:rPr>
        <w:t>拒收；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④不完善粒≤8%；⑤呕吐毒素＜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  <w:lang w:val="en-US" w:eastAsia="zh-CN"/>
        </w:rPr>
        <w:t>8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00μg/Kg；⑥色泽、气味：正常；⑦玉米赤霉烯酮＜60μg/Kg；⑧无虫粮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无陈粮互混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  <w:shd w:val="clear" w:color="auto" w:fill="auto"/>
        </w:rPr>
        <w:t>其他质量指标及食品卫生指标符合国家相关标准</w:t>
      </w:r>
      <w:r>
        <w:rPr>
          <w:rFonts w:hint="eastAsia" w:ascii="仿宋" w:hAnsi="仿宋" w:eastAsia="仿宋" w:cs="仿宋"/>
          <w:sz w:val="30"/>
          <w:szCs w:val="30"/>
        </w:rPr>
        <w:t>，不符合质量指标的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甲</w:t>
      </w:r>
      <w:r>
        <w:rPr>
          <w:rFonts w:hint="eastAsia" w:ascii="仿宋" w:hAnsi="仿宋" w:eastAsia="仿宋" w:cs="仿宋"/>
          <w:sz w:val="30"/>
          <w:szCs w:val="30"/>
        </w:rPr>
        <w:t>方有权拒收。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3733800</wp:posOffset>
                </wp:positionH>
                <wp:positionV relativeFrom="page">
                  <wp:posOffset>9744075</wp:posOffset>
                </wp:positionV>
                <wp:extent cx="698500" cy="339725"/>
                <wp:effectExtent l="0" t="0" r="6350" b="3175"/>
                <wp:wrapNone/>
                <wp:docPr id="1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8500" cy="339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DC65037">
                            <w:pPr>
                              <w:spacing w:line="340" w:lineRule="exact"/>
                              <w:jc w:val="center"/>
                            </w:pPr>
                            <w:r>
                              <w:rPr>
                                <w:rFonts w:hint="eastAsia" w:ascii="Arial" w:hAnsi="Arial" w:eastAsia="Arial"/>
                                <w:color w:val="000000"/>
                                <w:sz w:val="14"/>
                              </w:rPr>
                              <w:t>1</w:t>
                            </w:r>
                          </w:p>
                        </w:txbxContent>
                      </wps:txbx>
                      <wps:bodyPr lIns="2" tIns="0" rIns="2" bIns="0" upright="1"/>
                    </wps:wsp>
                  </a:graphicData>
                </a:graphic>
              </wp:anchor>
            </w:drawing>
          </mc:Choice>
          <mc:Fallback>
            <w:pict>
              <v:shape id="文本框 2" o:spid="_x0000_s1026" o:spt="202" type="#_x0000_t202" style="position:absolute;left:0pt;margin-left:294pt;margin-top:767.25pt;height:26.75pt;width:55pt;mso-position-horizontal-relative:page;mso-position-vertical-relative:page;z-index:251659264;mso-width-relative:page;mso-height-relative:page;" fillcolor="#FFFFFF" filled="t" stroked="f" coordsize="21600,21600" o:gfxdata="UEsDBAoAAAAAAIdO4kAAAAAAAAAAAAAAAAAEAAAAZHJzL1BLAwQUAAAACACHTuJAsrP8ItgAAAAN&#10;AQAADwAAAGRycy9kb3ducmV2LnhtbE2PwW6DMBBE75X6D9ZW6q0xaUJKKCaHSLlVQiG59LZgF2jw&#10;GmGTpH/f5dQed95odibb3W0vrmb0nSMFy0UEwlDtdEeNgvPp8JKA8AFJY+/IKPgxHnb540OGqXY3&#10;OpprGRrBIeRTVNCGMKRS+ro1Fv3CDYaYfbnRYuBzbKQe8cbhtpevUbSRFjviDy0OZt+a+lJOVkFR&#10;0PqzqstiKrf7/qM6nvH77aLU89MyegcRzD38mWGuz9Uh506Vm0h70SuIk4S3BAbxah2DYMtmO0vV&#10;LM1Q5pn8vyL/BVBLAwQUAAAACACHTuJAQ2GoydUBAACjAwAADgAAAGRycy9lMm9Eb2MueG1srVPN&#10;jtMwEL4j8Q6W7zTZVF12o6YrQVWEhABp4QEcx0ks+U9jt0lfAN6AExfuPFefY8dO2oXlsgdySMYz&#10;42/m+2ayvhu1IgcBXlpT0atFTokw3DbSdBX9+mX36oYSH5hpmLJGVPQoPL3bvHyxHlwpCttb1Qgg&#10;CGJ8ObiK9iG4Mss874VmfmGdMBhsLWgW8Ahd1gAbEF2rrMjz62yw0DiwXHiP3u0UpDMiPAfQtq3k&#10;Ymv5XgsTJlQQigWk5HvpPN2kbttW8PCpbb0IRFUUmYb0xiJo1/Gdbdas7IC5XvK5BfacFp5w0kwa&#10;LHqB2rLAyB7kP1BacrDetmHBrc4mIkkRZHGVP9HmvmdOJC4otXcX0f3/g+UfD5+ByAY3gRLDNA78&#10;9OP76efv069vpIjyDM6XmHXvMC+Mb+wYU2e/R2dkPbag4xf5EIyjuMeLuGIMhKPz+vZmlWOEY2i5&#10;vH1drCJK9njZgQ/vhNUkGhUFnF2SlB0++DClnlNiLW+VbHZSqXSArn6rgBwYznmXnhn9rzRlyICd&#10;LFd5QjY23p+glcFmIteJU7TCWI8z0do2R+Sv3hvUvsA9SgaygbOnPnv2DmTXI4GkUoLE2SWm857F&#10;5fjznAo//lubB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LKz/CLYAAAADQEAAA8AAAAAAAAAAQAg&#10;AAAAIgAAAGRycy9kb3ducmV2LnhtbFBLAQIUABQAAAAIAIdO4kBDYajJ1QEAAKMDAAAOAAAAAAAA&#10;AAEAIAAAACcBAABkcnMvZTJvRG9jLnhtbFBLBQYAAAAABgAGAFkBAABuBQAAAAA=&#10;">
                <v:fill on="t" focussize="0,0"/>
                <v:stroke on="f" weight="0.5pt"/>
                <v:imagedata o:title=""/>
                <o:lock v:ext="edit" aspectratio="f"/>
                <v:textbox inset="0.00015748031496063pt,0mm,0.00015748031496063pt,0mm">
                  <w:txbxContent>
                    <w:p w14:paraId="3DC65037">
                      <w:pPr>
                        <w:spacing w:line="340" w:lineRule="exact"/>
                        <w:jc w:val="center"/>
                      </w:pPr>
                      <w:r>
                        <w:rPr>
                          <w:rFonts w:hint="eastAsia" w:ascii="Arial" w:hAnsi="Arial" w:eastAsia="Arial"/>
                          <w:color w:val="000000"/>
                          <w:sz w:val="14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14:paraId="1B3351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（2）过磅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数量以交货库点地磅衡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称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重为准，乙方应当派人监磅，并在监磅后的过磅单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上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对数量确认。粮食入库时，由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南通粮食集团海安储备粮管理有限公司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负责对每车（船）按规定进行抽样检测，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乙方如对数量、质量异议应在入库卸货前提出。</w:t>
      </w:r>
    </w:p>
    <w:p w14:paraId="03E305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数量和质量的确认：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粮食入库完成后，由第三方有资质的检测机构对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整仓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质量进行检测，甲、乙双方须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根据检测结果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对入库粮食的数量、质量进行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最终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书面确认。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如出现扣量情况，乙方应补足标准粮数量，如不能满足甲方满仓的质量要求的，甲方有权退货。</w:t>
      </w:r>
      <w:r>
        <w:rPr>
          <w:rFonts w:hint="eastAsia" w:ascii="仿宋" w:hAnsi="仿宋" w:eastAsia="仿宋" w:cs="仿宋"/>
          <w:color w:val="auto"/>
          <w:sz w:val="30"/>
          <w:highlight w:val="none"/>
          <w:lang w:val="en-US" w:eastAsia="zh-CN"/>
        </w:rPr>
        <w:t>同时乙方应承担进出库装卸费、过磅费等其他费用。</w:t>
      </w:r>
    </w:p>
    <w:p w14:paraId="3E434C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四、保证金及风险金缴纳</w:t>
      </w:r>
    </w:p>
    <w:p w14:paraId="6BEED8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1）乙方通过竞价交易的方式获得购销合作的权利，乙方按照甲方委托公告的要求参加竞价交易。本次购销双向交易采取以采竞销的交易方式。一次交易实现同一数量的地方储备粮采购（轮入）和销售（轮出）。采购价格固定，竞价方只需对销售标的的底价进行竞价，一旦竞价销售标的竞价成交，则相对应的采购标的同时成交。销售（回购）价格以竞价交易的结果为准。所有参加竞价销售的单位应预交保证金：销售和采购交易保证金各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10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元/吨，采购履约保证金1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0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0元/吨，合计应预交保证金1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0元/吨，保证金必须在竞价交易前到账。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竞价成功后在江苏粮油商品交易平台系统内签订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购、销双向交易合同，三日内不签订此合同按违约处理。</w:t>
      </w:r>
    </w:p>
    <w:p w14:paraId="6435F5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（2）甲方按货物标的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销售金额的10%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收取乙方风险保证金，风险保证金不计利息，在乙方无任何违约的前提下于粮食出库结束后由甲方退还乙方。</w:t>
      </w:r>
    </w:p>
    <w:p w14:paraId="42D054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五、双方商定乙方回购时间及价格：</w:t>
      </w:r>
    </w:p>
    <w:p w14:paraId="474E73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（1）乙方回购粮食时需提前向甲方申请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并获得甲方同意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 w14:paraId="47665F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（2）乙方回购时间：为202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年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1日至3月31日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（待甲方报上级储备粮管理机构批准后实施，如合同中的储备粮被政府调用，本次购销合作双向交易的销售合同终止，乙方不得强求委托方履行合同。）</w:t>
      </w:r>
    </w:p>
    <w:p w14:paraId="57AAD6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（3）按照竞价成交价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2500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元/吨作为回购价格支付粮款，凭出库通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知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单出库，甲方开具相应的增值税发票。</w:t>
      </w:r>
    </w:p>
    <w:p w14:paraId="550E5A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六、进出库费用。</w:t>
      </w:r>
    </w:p>
    <w:p w14:paraId="0B7E7E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（1）进库时仓库车（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船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）板前费用由乙方承担。</w:t>
      </w:r>
    </w:p>
    <w:p w14:paraId="4B0222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（2）出库时仓库车（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船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）板后费用由乙方承担。</w:t>
      </w:r>
    </w:p>
    <w:p w14:paraId="098E2D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七、其他事项：</w:t>
      </w:r>
    </w:p>
    <w:p w14:paraId="2113E6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（1）如遇政策调控，甲乙双方应无条件服从政府调控需要，互不承担违约责任。</w:t>
      </w:r>
    </w:p>
    <w:p w14:paraId="5F488A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（2）粮食入库后由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南通粮食集团海安储备粮管理有限公司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保管，并确保保管期间的入库粮食数量真实、质量安全。储存期间需符合地方储备粮管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理规定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，入库完毕后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方共同确认数量和质量。</w:t>
      </w:r>
    </w:p>
    <w:p w14:paraId="56D091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（3）该批粮食的水杂减量和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实际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保管损耗由乙方承担，提货时甲方开仓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后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，乙方必须在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0日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历天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内提完，避免动仓后粮食质量下降；因乙方提货动仓后造成粮食品质下降，由乙方负责。若甲方因此遭受损失的，乙方应予赔偿。</w:t>
      </w:r>
    </w:p>
    <w:p w14:paraId="242D46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（4）涉及储备粮业务的各项补贴与乙方无关。</w:t>
      </w:r>
    </w:p>
    <w:p w14:paraId="33CA02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3721100</wp:posOffset>
                </wp:positionH>
                <wp:positionV relativeFrom="page">
                  <wp:posOffset>9812020</wp:posOffset>
                </wp:positionV>
                <wp:extent cx="711200" cy="271780"/>
                <wp:effectExtent l="0" t="0" r="12700" b="13970"/>
                <wp:wrapNone/>
                <wp:docPr id="2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1200" cy="2717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9DCEFA4">
                            <w:pPr>
                              <w:spacing w:line="320" w:lineRule="exact"/>
                              <w:jc w:val="center"/>
                            </w:pPr>
                            <w:r>
                              <w:rPr>
                                <w:rFonts w:hint="eastAsia" w:ascii="Arial" w:hAnsi="Arial" w:eastAsia="Arial"/>
                                <w:color w:val="000000"/>
                                <w:sz w:val="16"/>
                              </w:rPr>
                              <w:t>3</w:t>
                            </w:r>
                          </w:p>
                        </w:txbxContent>
                      </wps:txbx>
                      <wps:bodyPr lIns="2" tIns="0" rIns="2" bIns="0" upright="1"/>
                    </wps:wsp>
                  </a:graphicData>
                </a:graphic>
              </wp:anchor>
            </w:drawing>
          </mc:Choice>
          <mc:Fallback>
            <w:pict>
              <v:shape id="文本框 3" o:spid="_x0000_s1026" o:spt="202" type="#_x0000_t202" style="position:absolute;left:0pt;margin-left:293pt;margin-top:772.6pt;height:21.4pt;width:56pt;mso-position-horizontal-relative:page;mso-position-vertical-relative:page;z-index:251660288;mso-width-relative:page;mso-height-relative:page;" fillcolor="#FFFFFF" filled="t" stroked="f" coordsize="21600,21600" o:gfxdata="UEsDBAoAAAAAAIdO4kAAAAAAAAAAAAAAAAAEAAAAZHJzL1BLAwQUAAAACACHTuJAljXFtNgAAAAN&#10;AQAADwAAAGRycy9kb3ducmV2LnhtbE1PPW+DMBDdK/U/WFepW2MSBUoIJkOkbpVQaJZsB3aBBJ8R&#10;Nkn673uZ2u3eh969l+/udhBXM/nekYLlIgJhqHG6p1bB8evjLQXhA5LGwZFR8GM87Irnpxwz7W50&#10;MNcqtIJDyGeooAthzKT0TWcs+oUbDbH27SaLgeHUSj3hjcPtIFdRlEiLPfGHDkez70xzqWaroCxp&#10;faqbqpyrzX74rA9HPL9flHp9WUZbEMHcw58ZHvW5OhTcqXYzaS8GBXGa8JbAQryOVyDYkmxSpuoH&#10;lfIli1z+X1H8AlBLAwQUAAAACACHTuJAFzGxI9gBAACjAwAADgAAAGRycy9lMm9Eb2MueG1srVNL&#10;btswEN0XyB0I7mtJDhoHguUAreGgQNEWSHIAiqIkAvxhSFvyBdobdNVN9z2Xz9EhZTu/TRbVghrO&#10;DN/Me0Mub0atyE6Al9ZUtJjllAjDbSNNV9GH+837a0p8YKZhyhpR0b3w9GZ18W45uFLMbW9VI4Ag&#10;iPHl4Crah+DKLPO8F5r5mXXCYLC1oFnALXRZA2xAdK2yeZ5fZYOFxoHlwnv0rqcgPSLCWwBt20ou&#10;1pZvtTBhQgWhWEBKvpfO01Xqtm0FD9/a1otAVEWRaUgrFkG7jmu2WrKyA+Z6yY8tsLe08IKTZtJg&#10;0TPUmgVGtiBfQWnJwXrbhhm3OpuIJEWQRZG/0OauZ04kLii1d2fR/f+D5V9334HIpqJzSgzTOPDD&#10;r5+H338Pf36QyyjP4HyJWXcO88L40Y54aU5+j87IemxBxz/yIRhHcfdnccUYCEfnoihw/JRwDM0X&#10;xeI6iZ89Hnbgw62wmkSjooCzS5Ky3RcfsBFMPaXEWt4q2WykUmkDXf1JAdkxnPMmfbFHPPIsTRky&#10;VPTq8kOekI2N56c8ZTA9cp04RSuM9XgUoLbNHvmrzwa1R6VCMpANnDz1ybN1ILseCSSVEiTOLvVy&#10;vGfxcjzdp8KPb2v1D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JY1xbTYAAAADQEAAA8AAAAAAAAA&#10;AQAgAAAAIgAAAGRycy9kb3ducmV2LnhtbFBLAQIUABQAAAAIAIdO4kAXMbEj2AEAAKMDAAAOAAAA&#10;AAAAAAEAIAAAACcBAABkcnMvZTJvRG9jLnhtbFBLBQYAAAAABgAGAFkBAABxBQAAAAA=&#10;">
                <v:fill on="t" focussize="0,0"/>
                <v:stroke on="f" weight="0.5pt"/>
                <v:imagedata o:title=""/>
                <o:lock v:ext="edit" aspectratio="f"/>
                <v:textbox inset="0.00015748031496063pt,0mm,0.00015748031496063pt,0mm">
                  <w:txbxContent>
                    <w:p w14:paraId="09DCEFA4">
                      <w:pPr>
                        <w:spacing w:line="320" w:lineRule="exact"/>
                        <w:jc w:val="center"/>
                      </w:pPr>
                      <w:r>
                        <w:rPr>
                          <w:rFonts w:hint="eastAsia" w:ascii="Arial" w:hAnsi="Arial" w:eastAsia="Arial"/>
                          <w:color w:val="000000"/>
                          <w:sz w:val="16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（5）甲、乙双方购、销双向交易履约均在国家粮食交易平台中完成，合作权利确定后，分采购、销售（回购）两个环节进行，采购合同下，买卖双方自主交割，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委托方在规定的合同入库期限（详见标的清单）内按到货进度付款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每满500吨，乙方开具全额增值税发票，支付税票额的80%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采购合同交割期截止日以清单为准，采购合同完成率必须达到100％，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第三方检测单位出具检验合格报告且乙方将风险保证金（销售价格×入库数量×10%=风险保证金）全额汇至甲方账户后支付剩余的20%尾款，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双方交收完毕后江苏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粮油商品交易市场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凭双方签订的采购确认单有效文件清退保证金。销售合同项下，在合同交割期内，带款提货，先款后货，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乙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方需将货款汇至江苏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粮油商品交易市场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账户（与保证金账户一致）并在系统申请开具出库通知单，凭市场出库单及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提货委托书、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身份证明到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南通粮食集团海安储备粮管理有限公司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提货。销售粮食交收完毕，买卖双方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及时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在系统签订“验收确认单”。</w:t>
      </w:r>
    </w:p>
    <w:p w14:paraId="132A3B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八、违约责任</w:t>
      </w:r>
    </w:p>
    <w:p w14:paraId="7B7ED1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（1）乙方不能按合同时间、数量和质量送达，影响甲方储备入库计划，按违约处理，乙方保证金归甲方所有，合同终止。</w:t>
      </w:r>
    </w:p>
    <w:p w14:paraId="09570A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（2）如乙方逾期未提清约定数量，则视作乙方违约，乙方需支付给甲方总货款20％的违约金，未回购或未提清数量甲方不再按定向销售价格销售给乙方，甲方有权单方解除本合同，而由甲方另行销售，货款用于偿还甲方本金及因乙方违约造成的损失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销售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合同项下违约金无法弥补甲方损失的，乙方应予补足，不足部分甲方保留向乙方追讨补足价差的权利。</w:t>
      </w:r>
    </w:p>
    <w:p w14:paraId="613B33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九、合同履约结束后，双方无任何经济纠纷，甲方应及时退还乙方风险保证金。</w:t>
      </w:r>
    </w:p>
    <w:p w14:paraId="011749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十、解决纠纷的方式：协商解决或按《民法典》通过法律程序解决，出现合同纠纷和未尽事宜双方协商，可签订补充协议，补充协议与本协议是具有同等法律效应，协商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不成的由海安市人民法院管辖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 w14:paraId="42707D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80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3721100</wp:posOffset>
                </wp:positionH>
                <wp:positionV relativeFrom="page">
                  <wp:posOffset>9765665</wp:posOffset>
                </wp:positionV>
                <wp:extent cx="711200" cy="318135"/>
                <wp:effectExtent l="0" t="0" r="12700" b="5715"/>
                <wp:wrapNone/>
                <wp:docPr id="3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1200" cy="318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D64B684">
                            <w:pPr>
                              <w:spacing w:line="300" w:lineRule="exact"/>
                              <w:jc w:val="center"/>
                            </w:pPr>
                            <w:r>
                              <w:rPr>
                                <w:rFonts w:hint="eastAsia" w:ascii="Arial" w:hAnsi="Arial" w:eastAsia="Arial"/>
                                <w:color w:val="000000"/>
                                <w:sz w:val="14"/>
                              </w:rPr>
                              <w:t>4</w:t>
                            </w:r>
                          </w:p>
                        </w:txbxContent>
                      </wps:txbx>
                      <wps:bodyPr lIns="2" tIns="0" rIns="2" bIns="0" upright="1"/>
                    </wps:wsp>
                  </a:graphicData>
                </a:graphic>
              </wp:anchor>
            </w:drawing>
          </mc:Choice>
          <mc:Fallback>
            <w:pict>
              <v:shape id="文本框 4" o:spid="_x0000_s1026" o:spt="202" type="#_x0000_t202" style="position:absolute;left:0pt;margin-left:293pt;margin-top:768.95pt;height:25.05pt;width:56pt;mso-position-horizontal-relative:page;mso-position-vertical-relative:page;z-index:251661312;mso-width-relative:page;mso-height-relative:page;" fillcolor="#FFFFFF" filled="t" stroked="f" coordsize="21600,21600" o:gfxdata="UEsDBAoAAAAAAIdO4kAAAAAAAAAAAAAAAAAEAAAAZHJzL1BLAwQUAAAACACHTuJAYitjKdgAAAAN&#10;AQAADwAAAGRycy9kb3ducmV2LnhtbE1PPW+DMBDdK/U/WFepW2PSNgQIJkOkbpVQSJZuB3aBBJ8R&#10;Nkn673uZ2u3eh969l29vdhAXM/nekYLlIgJhqHG6p1bB8fDxkoDwAUnj4Mgo+DEetsXjQ46Zdlfa&#10;m0sVWsEh5DNU0IUwZlL6pjMW/cKNhlj7dpPFwHBqpZ7wyuF2kK9RFEuLPfGHDkez60xzrmaroCzp&#10;/atuqnKu0t3wWe+PeFqflXp+WkYbEMHcwp8Z7vW5OhTcqXYzaS8GBask5i2BhdXbOgXBljhNmKrv&#10;VMKXLHL5f0XxC1BLAwQUAAAACACHTuJAhiaIldcBAACjAwAADgAAAGRycy9lMm9Eb2MueG1srVPN&#10;jtMwEL4j8Q6W7zRJyy6rqOlKUBUhIUBaeADHcRJL/tPYbdIXgDfgxIU7z9XnYOykXXb3sgdySMYz&#10;42/m+2ayvh21IgcBXlpT0WKRUyIMt400XUW/fd29uqHEB2YapqwRFT0KT283L1+sB1eKpe2tagQQ&#10;BDG+HFxF+xBcmWWe90Izv7BOGAy2FjQLeIQua4ANiK5Vtszz62yw0DiwXHiP3u0UpDMiPAfQtq3k&#10;Ymv5XgsTJlQQigWk5HvpPN2kbttW8PC5bb0IRFUUmYb0xiJo1/Gdbdas7IC5XvK5BfacFh5x0kwa&#10;LHqB2rLAyB7kEygtOVhv27DgVmcTkaQIsijyR9rc9cyJxAWl9u4iuv9/sPzT4QsQ2VR0RYlhGgd+&#10;+vnj9OvP6fd38jrKMzhfYtadw7wwvrUjLs3Z79EZWY8t6PhFPgTjKO7xIq4YA+HofFMUOH5KOIZW&#10;xU2xuooo2f1lBz68F1aTaFQUcHZJUnb46MOUek6JtbxVstlJpdIBuvqdAnJgOOddemb0B2nKkKGi&#10;16urPCEbG+9P0MpgM5HrxClaYazHWYDaNkfkrz4Y1H6Je5QMZANnT3327B3IrkcCSaUEibNLTOc9&#10;i8vx7zkVvv+3Nn8B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YitjKdgAAAANAQAADwAAAAAAAAAB&#10;ACAAAAAiAAAAZHJzL2Rvd25yZXYueG1sUEsBAhQAFAAAAAgAh07iQIYmiJXXAQAAowMAAA4AAAAA&#10;AAAAAQAgAAAAJwEAAGRycy9lMm9Eb2MueG1sUEsFBgAAAAAGAAYAWQEAAHAFAAAAAA==&#10;">
                <v:fill on="t" focussize="0,0"/>
                <v:stroke on="f" weight="0.5pt"/>
                <v:imagedata o:title=""/>
                <o:lock v:ext="edit" aspectratio="f"/>
                <v:textbox inset="0.00015748031496063pt,0mm,0.00015748031496063pt,0mm">
                  <w:txbxContent>
                    <w:p w14:paraId="5D64B684">
                      <w:pPr>
                        <w:spacing w:line="300" w:lineRule="exact"/>
                        <w:jc w:val="center"/>
                      </w:pPr>
                      <w:r>
                        <w:rPr>
                          <w:rFonts w:hint="eastAsia" w:ascii="Arial" w:hAnsi="Arial" w:eastAsia="Arial"/>
                          <w:color w:val="000000"/>
                          <w:sz w:val="14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十一、本合同一式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肆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份，本合同双方签字盖章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后生效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，本合同有效期至出库结束止，本合同相关传真件视同原件。</w:t>
      </w:r>
      <w:bookmarkStart w:id="0" w:name="_GoBack"/>
      <w:bookmarkEnd w:id="0"/>
    </w:p>
    <w:p w14:paraId="726744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甲方（盖章）：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南通粮食集团     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乙方（盖章）：</w:t>
      </w:r>
    </w:p>
    <w:p w14:paraId="2FCB09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海安储备粮管理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有限公司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代表（签字）：</w:t>
      </w:r>
    </w:p>
    <w:p w14:paraId="23256F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代表（签字）：</w:t>
      </w:r>
    </w:p>
    <w:p w14:paraId="463233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 xml:space="preserve"> 年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            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202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年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日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2EBB06"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FA03B1"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A0B107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E5F26E"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05C04B"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A7B775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MyYmVmOTkxMDExY2U2ZDVlMWE5OGJiMGZmZTFhNTIifQ=="/>
  </w:docVars>
  <w:rsids>
    <w:rsidRoot w:val="00D90370"/>
    <w:rsid w:val="00017035"/>
    <w:rsid w:val="000329F3"/>
    <w:rsid w:val="000E2357"/>
    <w:rsid w:val="00133DB8"/>
    <w:rsid w:val="00146703"/>
    <w:rsid w:val="001735A0"/>
    <w:rsid w:val="00181390"/>
    <w:rsid w:val="001A5E65"/>
    <w:rsid w:val="001E737B"/>
    <w:rsid w:val="00257D32"/>
    <w:rsid w:val="00274D3C"/>
    <w:rsid w:val="002A5ED6"/>
    <w:rsid w:val="002C2364"/>
    <w:rsid w:val="002E2820"/>
    <w:rsid w:val="002E42F5"/>
    <w:rsid w:val="00323642"/>
    <w:rsid w:val="003D63F3"/>
    <w:rsid w:val="004018ED"/>
    <w:rsid w:val="004205A4"/>
    <w:rsid w:val="00453590"/>
    <w:rsid w:val="00454603"/>
    <w:rsid w:val="00456997"/>
    <w:rsid w:val="00457491"/>
    <w:rsid w:val="00462BD9"/>
    <w:rsid w:val="004711CE"/>
    <w:rsid w:val="0050613A"/>
    <w:rsid w:val="00507AA9"/>
    <w:rsid w:val="00543300"/>
    <w:rsid w:val="00565CDE"/>
    <w:rsid w:val="0059430D"/>
    <w:rsid w:val="00595362"/>
    <w:rsid w:val="005B3F1B"/>
    <w:rsid w:val="005B7DFA"/>
    <w:rsid w:val="005E5978"/>
    <w:rsid w:val="006774A7"/>
    <w:rsid w:val="00681E51"/>
    <w:rsid w:val="00683443"/>
    <w:rsid w:val="00750ADD"/>
    <w:rsid w:val="007816DC"/>
    <w:rsid w:val="007F6069"/>
    <w:rsid w:val="0080003C"/>
    <w:rsid w:val="00826695"/>
    <w:rsid w:val="008C04FB"/>
    <w:rsid w:val="008C2236"/>
    <w:rsid w:val="008D48C7"/>
    <w:rsid w:val="00954FBA"/>
    <w:rsid w:val="009D1521"/>
    <w:rsid w:val="00A111BC"/>
    <w:rsid w:val="00A2701B"/>
    <w:rsid w:val="00A32C8B"/>
    <w:rsid w:val="00AA7FD1"/>
    <w:rsid w:val="00AC6632"/>
    <w:rsid w:val="00AD2C0D"/>
    <w:rsid w:val="00AD4A7B"/>
    <w:rsid w:val="00B4198F"/>
    <w:rsid w:val="00B76FA9"/>
    <w:rsid w:val="00B854E5"/>
    <w:rsid w:val="00B86C97"/>
    <w:rsid w:val="00BB32DB"/>
    <w:rsid w:val="00BC0536"/>
    <w:rsid w:val="00BC0707"/>
    <w:rsid w:val="00BD0B1B"/>
    <w:rsid w:val="00C223DB"/>
    <w:rsid w:val="00C65F33"/>
    <w:rsid w:val="00C77D99"/>
    <w:rsid w:val="00D406D7"/>
    <w:rsid w:val="00D51C6C"/>
    <w:rsid w:val="00D90370"/>
    <w:rsid w:val="00DA333F"/>
    <w:rsid w:val="00E87C65"/>
    <w:rsid w:val="00EC4840"/>
    <w:rsid w:val="00F1295E"/>
    <w:rsid w:val="00F45323"/>
    <w:rsid w:val="00F54155"/>
    <w:rsid w:val="00FB4BF7"/>
    <w:rsid w:val="01465165"/>
    <w:rsid w:val="016545C7"/>
    <w:rsid w:val="0305345B"/>
    <w:rsid w:val="04771BD0"/>
    <w:rsid w:val="077C16C4"/>
    <w:rsid w:val="07D77390"/>
    <w:rsid w:val="0904744F"/>
    <w:rsid w:val="0C6B033C"/>
    <w:rsid w:val="0D383254"/>
    <w:rsid w:val="0F8B63F3"/>
    <w:rsid w:val="0FDC0B1C"/>
    <w:rsid w:val="13624F26"/>
    <w:rsid w:val="13831451"/>
    <w:rsid w:val="157463C1"/>
    <w:rsid w:val="19153875"/>
    <w:rsid w:val="1A8D2EE1"/>
    <w:rsid w:val="1A9B7318"/>
    <w:rsid w:val="1B58351A"/>
    <w:rsid w:val="1BEB61FC"/>
    <w:rsid w:val="1C7B79D2"/>
    <w:rsid w:val="1CC51333"/>
    <w:rsid w:val="1E4C54D3"/>
    <w:rsid w:val="20796255"/>
    <w:rsid w:val="207D067D"/>
    <w:rsid w:val="24D34D10"/>
    <w:rsid w:val="264619D0"/>
    <w:rsid w:val="26551754"/>
    <w:rsid w:val="2A8D3BB3"/>
    <w:rsid w:val="2D6329A9"/>
    <w:rsid w:val="2DEE3ACD"/>
    <w:rsid w:val="2FED5A1D"/>
    <w:rsid w:val="3050073C"/>
    <w:rsid w:val="30CB5C83"/>
    <w:rsid w:val="32AA2E28"/>
    <w:rsid w:val="38EF096A"/>
    <w:rsid w:val="3BD07C67"/>
    <w:rsid w:val="3DEC2333"/>
    <w:rsid w:val="3E3E0C28"/>
    <w:rsid w:val="3FA647CA"/>
    <w:rsid w:val="40512B35"/>
    <w:rsid w:val="40BE69A0"/>
    <w:rsid w:val="419A03B6"/>
    <w:rsid w:val="439C64E2"/>
    <w:rsid w:val="491C4628"/>
    <w:rsid w:val="4A685A5D"/>
    <w:rsid w:val="51C904A4"/>
    <w:rsid w:val="53414C8F"/>
    <w:rsid w:val="569A75C4"/>
    <w:rsid w:val="5B576E93"/>
    <w:rsid w:val="5B8B5046"/>
    <w:rsid w:val="5D6804E4"/>
    <w:rsid w:val="5EEA72F8"/>
    <w:rsid w:val="5FBB3A09"/>
    <w:rsid w:val="5FBD0D72"/>
    <w:rsid w:val="617B7502"/>
    <w:rsid w:val="61B76DE9"/>
    <w:rsid w:val="62595B4D"/>
    <w:rsid w:val="629D2B0B"/>
    <w:rsid w:val="62B41C07"/>
    <w:rsid w:val="630E4B89"/>
    <w:rsid w:val="64702941"/>
    <w:rsid w:val="64802044"/>
    <w:rsid w:val="64D33278"/>
    <w:rsid w:val="670F4B95"/>
    <w:rsid w:val="676323CC"/>
    <w:rsid w:val="68E97C1C"/>
    <w:rsid w:val="69C16E12"/>
    <w:rsid w:val="6E1E15B5"/>
    <w:rsid w:val="70463E58"/>
    <w:rsid w:val="72F62470"/>
    <w:rsid w:val="745F1756"/>
    <w:rsid w:val="76F459ED"/>
    <w:rsid w:val="794F33AE"/>
    <w:rsid w:val="7AC344FA"/>
    <w:rsid w:val="7C440DF7"/>
    <w:rsid w:val="7F697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4</Pages>
  <Words>2286</Words>
  <Characters>2386</Characters>
  <Lines>11</Lines>
  <Paragraphs>3</Paragraphs>
  <TotalTime>3</TotalTime>
  <ScaleCrop>false</ScaleCrop>
  <LinksUpToDate>false</LinksUpToDate>
  <CharactersWithSpaces>2425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2021-05-26T05:05:00Z</dcterms:created>
  <dc:creator>china</dc:creator>
  <cp:lastModifiedBy>李志宏</cp:lastModifiedBy>
  <cp:lastPrinted>2023-11-02T01:41:00Z</cp:lastPrinted>
  <dcterms:modified xsi:type="dcterms:W3CDTF">2025-06-08T08:05:56Z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1E661551302646E2B6AF8C1BF0222F02_13</vt:lpwstr>
  </property>
  <property fmtid="{D5CDD505-2E9C-101B-9397-08002B2CF9AE}" pid="4" name="KSOTemplateDocerSaveRecord">
    <vt:lpwstr>eyJoZGlkIjoiYzMyYmVmOTkxMDExY2U2ZDVlMWE5OGJiMGZmZTFhNTIiLCJ1c2VySWQiOiIxMjk5MDQ3NjU5In0=</vt:lpwstr>
  </property>
</Properties>
</file>