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6384DDB">
      <w:pPr>
        <w:spacing w:line="590" w:lineRule="exact"/>
        <w:jc w:val="right"/>
        <w:rPr>
          <w:rFonts w:hint="default" w:ascii="Times New Roman Regular" w:hAnsi="Times New Roman Regular" w:eastAsia="方正仿宋_GBK" w:cs="Times New Roman Regular"/>
          <w:sz w:val="32"/>
          <w:szCs w:val="32"/>
          <w:highlight w:val="none"/>
          <w:u w:val="single"/>
          <w:lang w:val="en-US" w:eastAsia="zh-CN"/>
        </w:rPr>
      </w:pPr>
      <w:r>
        <w:rPr>
          <w:rFonts w:hint="default" w:ascii="Times New Roman Regular" w:hAnsi="Times New Roman Regular" w:eastAsia="方正仿宋_GBK" w:cs="Times New Roman Regular"/>
          <w:sz w:val="32"/>
          <w:szCs w:val="32"/>
          <w:highlight w:val="none"/>
        </w:rPr>
        <w:t>合同号：SCBL</w:t>
      </w:r>
      <w:r>
        <w:rPr>
          <w:rFonts w:hint="default" w:ascii="Times New Roman Regular" w:hAnsi="Times New Roman Regular" w:eastAsia="方正仿宋_GBK" w:cs="Times New Roman Regular"/>
          <w:sz w:val="32"/>
          <w:szCs w:val="32"/>
          <w:highlight w:val="none"/>
          <w:u w:val="single"/>
          <w:lang w:val="en-US" w:eastAsia="zh-CN"/>
        </w:rPr>
        <w:t>DG</w:t>
      </w:r>
      <w:r>
        <w:rPr>
          <w:rFonts w:hint="default" w:ascii="Times New Roman Regular" w:hAnsi="Times New Roman Regular" w:eastAsia="方正仿宋_GBK" w:cs="Times New Roman Regular"/>
          <w:sz w:val="32"/>
          <w:szCs w:val="32"/>
          <w:highlight w:val="none"/>
        </w:rPr>
        <w:t>2025</w:t>
      </w:r>
      <w:r>
        <w:rPr>
          <w:rFonts w:hint="eastAsia" w:ascii="Times New Roman Regular" w:hAnsi="Times New Roman Regular" w:eastAsia="方正仿宋_GBK" w:cs="Times New Roman Regular"/>
          <w:sz w:val="32"/>
          <w:szCs w:val="32"/>
          <w:highlight w:val="none"/>
          <w:u w:val="single"/>
          <w:lang w:val="en-US" w:eastAsia="zh-CN"/>
        </w:rPr>
        <w:t>1022</w:t>
      </w:r>
      <w:r>
        <w:rPr>
          <w:rFonts w:hint="default" w:ascii="Times New Roman Regular" w:hAnsi="Times New Roman Regular" w:cs="Times New Roman Regular"/>
          <w:highlight w:val="none"/>
          <w:u w:val="single"/>
          <w:lang w:val="en-US" w:eastAsia="zh-CN"/>
        </w:rPr>
        <w:t>-</w:t>
      </w:r>
      <w:r>
        <w:rPr>
          <w:rFonts w:hint="default" w:ascii="Times New Roman Regular" w:hAnsi="Times New Roman Regular" w:eastAsia="方正仿宋_GBK" w:cs="Times New Roman Regular"/>
          <w:sz w:val="32"/>
          <w:szCs w:val="32"/>
          <w:highlight w:val="none"/>
          <w:u w:val="single"/>
          <w:lang w:val="en-US" w:eastAsia="zh-CN"/>
        </w:rPr>
        <w:t>0</w:t>
      </w:r>
      <w:r>
        <w:rPr>
          <w:rFonts w:hint="eastAsia" w:ascii="Times New Roman Regular" w:hAnsi="Times New Roman Regular" w:eastAsia="方正仿宋_GBK" w:cs="Times New Roman Regular"/>
          <w:sz w:val="32"/>
          <w:szCs w:val="32"/>
          <w:highlight w:val="none"/>
          <w:u w:val="single"/>
          <w:lang w:val="en-US" w:eastAsia="zh-CN"/>
        </w:rPr>
        <w:t>*</w:t>
      </w:r>
    </w:p>
    <w:p w14:paraId="76F7A21D">
      <w:pPr>
        <w:spacing w:line="590" w:lineRule="exact"/>
        <w:jc w:val="right"/>
        <w:rPr>
          <w:rFonts w:hint="default" w:ascii="Times New Roman Regular" w:hAnsi="Times New Roman Regular" w:eastAsia="方正仿宋_GBK" w:cs="Times New Roman Regular"/>
          <w:sz w:val="32"/>
          <w:szCs w:val="32"/>
          <w:highlight w:val="none"/>
          <w:lang w:val="en-US" w:eastAsia="zh-CN"/>
        </w:rPr>
      </w:pPr>
    </w:p>
    <w:p w14:paraId="1978B4E6">
      <w:pPr>
        <w:spacing w:line="590" w:lineRule="exact"/>
        <w:jc w:val="center"/>
        <w:rPr>
          <w:rFonts w:hint="default" w:ascii="Times New Roman Regular" w:hAnsi="Times New Roman Regular" w:eastAsia="方正小标宋_GBK" w:cs="Times New Roman Regular"/>
          <w:b/>
          <w:bCs/>
          <w:sz w:val="44"/>
          <w:szCs w:val="44"/>
          <w:highlight w:val="none"/>
        </w:rPr>
      </w:pPr>
      <w:r>
        <w:rPr>
          <w:rFonts w:hint="default" w:ascii="Times New Roman Regular" w:hAnsi="Times New Roman Regular" w:eastAsia="方正小标宋_GBK" w:cs="Times New Roman Regular"/>
          <w:b w:val="0"/>
          <w:bCs w:val="0"/>
          <w:sz w:val="44"/>
          <w:szCs w:val="44"/>
          <w:highlight w:val="none"/>
          <w:u w:val="none"/>
          <w:lang w:val="en-US" w:eastAsia="zh-CN"/>
        </w:rPr>
        <w:t>稻谷</w:t>
      </w:r>
      <w:r>
        <w:rPr>
          <w:rFonts w:hint="default" w:ascii="Times New Roman Regular" w:hAnsi="Times New Roman Regular" w:eastAsia="方正小标宋_GBK" w:cs="Times New Roman Regular"/>
          <w:b w:val="0"/>
          <w:bCs w:val="0"/>
          <w:sz w:val="44"/>
          <w:szCs w:val="44"/>
          <w:highlight w:val="none"/>
        </w:rPr>
        <w:t>购销合作合同</w:t>
      </w:r>
    </w:p>
    <w:p w14:paraId="46C08D62">
      <w:pPr>
        <w:spacing w:line="590" w:lineRule="exact"/>
        <w:jc w:val="center"/>
        <w:rPr>
          <w:rFonts w:hint="default" w:ascii="Times New Roman Regular" w:hAnsi="Times New Roman Regular" w:eastAsia="方正仿宋_GBK" w:cs="Times New Roman Regular"/>
          <w:sz w:val="32"/>
          <w:szCs w:val="32"/>
          <w:highlight w:val="none"/>
        </w:rPr>
      </w:pPr>
      <w:r>
        <w:rPr>
          <w:rFonts w:hint="default" w:ascii="Times New Roman Regular" w:hAnsi="Times New Roman Regular" w:eastAsia="方正仿宋_GBK" w:cs="Times New Roman Regular"/>
          <w:sz w:val="32"/>
          <w:szCs w:val="32"/>
          <w:highlight w:val="none"/>
        </w:rPr>
        <w:t>（以采竞销）</w:t>
      </w:r>
    </w:p>
    <w:p w14:paraId="7188A88F">
      <w:pPr>
        <w:widowControl/>
        <w:spacing w:line="590" w:lineRule="exact"/>
        <w:jc w:val="left"/>
        <w:rPr>
          <w:rFonts w:hint="default" w:ascii="Times New Roman Regular" w:hAnsi="Times New Roman Regular" w:eastAsia="方正仿宋_GBK" w:cs="Times New Roman Regular"/>
          <w:sz w:val="32"/>
          <w:szCs w:val="32"/>
          <w:highlight w:val="none"/>
          <w:u w:val="single"/>
        </w:rPr>
      </w:pPr>
      <w:r>
        <w:rPr>
          <w:rFonts w:hint="default" w:ascii="Times New Roman Regular" w:hAnsi="Times New Roman Regular" w:eastAsia="方正仿宋_GBK" w:cs="Times New Roman Regular"/>
          <w:color w:val="000000"/>
          <w:kern w:val="0"/>
          <w:sz w:val="32"/>
          <w:szCs w:val="32"/>
          <w:highlight w:val="none"/>
          <w:lang w:bidi="ar"/>
        </w:rPr>
        <w:t>甲方 ：</w:t>
      </w:r>
      <w:r>
        <w:rPr>
          <w:rFonts w:hint="default" w:ascii="Times New Roman Regular" w:hAnsi="Times New Roman Regular" w:eastAsia="方正仿宋_GBK" w:cs="Times New Roman Regular"/>
          <w:sz w:val="32"/>
          <w:szCs w:val="32"/>
          <w:highlight w:val="none"/>
          <w:u w:val="single"/>
        </w:rPr>
        <w:t>江苏省粮食集团昆山粮食收储有限公司</w:t>
      </w:r>
    </w:p>
    <w:p w14:paraId="22B7624C">
      <w:pPr>
        <w:widowControl/>
        <w:spacing w:line="590" w:lineRule="exact"/>
        <w:jc w:val="left"/>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pPr>
      <w:r>
        <w:rPr>
          <w:rFonts w:hint="default" w:ascii="Times New Roman Regular" w:hAnsi="Times New Roman Regular" w:eastAsia="方正仿宋_GBK" w:cs="Times New Roman Regular"/>
          <w:color w:val="000000"/>
          <w:kern w:val="0"/>
          <w:sz w:val="32"/>
          <w:szCs w:val="32"/>
          <w:highlight w:val="none"/>
          <w:lang w:bidi="ar"/>
        </w:rPr>
        <w:t>乙方 ：</w:t>
      </w:r>
      <w:r>
        <w:rPr>
          <w:rFonts w:hint="default" w:ascii="Times New Roman Regular" w:hAnsi="Times New Roman Regular" w:eastAsia="方正仿宋_GBK" w:cs="Times New Roman Regular"/>
          <w:color w:val="000000"/>
          <w:kern w:val="0"/>
          <w:sz w:val="32"/>
          <w:szCs w:val="32"/>
          <w:highlight w:val="none"/>
          <w:u w:val="single"/>
          <w:lang w:bidi="ar"/>
        </w:rPr>
        <w:t xml:space="preserve"> </w:t>
      </w:r>
      <w:r>
        <w:rPr>
          <w:rFonts w:hint="eastAsia" w:ascii="Times New Roman Regular" w:hAnsi="Times New Roman Regular" w:eastAsia="方正仿宋_GBK" w:cs="Times New Roman Regular"/>
          <w:color w:val="000000"/>
          <w:kern w:val="0"/>
          <w:sz w:val="32"/>
          <w:szCs w:val="32"/>
          <w:highlight w:val="none"/>
          <w:u w:val="single"/>
          <w:lang w:val="en-US" w:eastAsia="zh-CN" w:bidi="ar"/>
        </w:rPr>
        <w:t xml:space="preserve">                           </w:t>
      </w:r>
    </w:p>
    <w:p w14:paraId="7042CA42">
      <w:pPr>
        <w:spacing w:line="590" w:lineRule="exact"/>
        <w:ind w:firstLine="480" w:firstLineChars="150"/>
        <w:jc w:val="lef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为充分发挥各自优势，合理配置粮源，依据江苏粮油商品交易市场（以下简称江苏市场）</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202</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5</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年</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10</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月</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22</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日</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竞价结果，就甲方采购乙方2025年产</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粳稻**</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吨</w:t>
      </w:r>
      <w:r>
        <w:rPr>
          <w:rFonts w:hint="default" w:ascii="Times New Roman Regular" w:hAnsi="Times New Roman Regular" w:eastAsia="方正仿宋_GBK" w:cs="Times New Roman Regular"/>
          <w:color w:val="000000" w:themeColor="text1"/>
          <w:sz w:val="32"/>
          <w:szCs w:val="32"/>
          <w:highlight w:val="none"/>
          <w:u w:color="FFFFFF"/>
          <w14:textFill>
            <w14:solidFill>
              <w14:schemeClr w14:val="tx1"/>
            </w14:solidFill>
          </w14:textFill>
        </w:rPr>
        <w:t>，同</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时由乙方根据甲方的出库时间要求负责全部回购，达成以下协议：</w:t>
      </w:r>
    </w:p>
    <w:p w14:paraId="312B7C6B">
      <w:pPr>
        <w:widowControl/>
        <w:numPr>
          <w:ilvl w:val="0"/>
          <w:numId w:val="1"/>
        </w:numPr>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default" w:ascii="Times New Roman Regular" w:hAnsi="Times New Roman Regular" w:eastAsia="方正黑体_GBK" w:cs="Times New Roman Regular"/>
          <w:color w:val="000000"/>
          <w:kern w:val="0"/>
          <w:sz w:val="32"/>
          <w:szCs w:val="32"/>
          <w:highlight w:val="none"/>
          <w:lang w:bidi="ar"/>
        </w:rPr>
        <w:t>甲方采购</w:t>
      </w:r>
      <w:r>
        <w:rPr>
          <w:rFonts w:hint="eastAsia" w:ascii="Times New Roman Regular" w:hAnsi="Times New Roman Regular" w:eastAsia="方正黑体_GBK" w:cs="Times New Roman Regular"/>
          <w:color w:val="000000"/>
          <w:kern w:val="0"/>
          <w:sz w:val="32"/>
          <w:szCs w:val="32"/>
          <w:highlight w:val="none"/>
          <w:lang w:val="en-US" w:eastAsia="zh-CN" w:bidi="ar"/>
        </w:rPr>
        <w:t>事项</w:t>
      </w:r>
    </w:p>
    <w:p w14:paraId="4D563F36">
      <w:pPr>
        <w:spacing w:line="590" w:lineRule="exact"/>
        <w:ind w:firstLine="640" w:firstLineChars="200"/>
        <w:jc w:val="left"/>
        <w:rPr>
          <w:rFonts w:hint="eastAsia" w:ascii="Times New Roman Regular" w:hAnsi="Times New Roman Regular" w:eastAsia="方正仿宋_GBK" w:cs="Times New Roman Regular"/>
          <w:color w:val="000000" w:themeColor="text1"/>
          <w:sz w:val="32"/>
          <w:szCs w:val="32"/>
          <w:highlight w:val="none"/>
          <w:lang w:bidi="ar"/>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lang w:bidi="ar"/>
          <w14:textFill>
            <w14:solidFill>
              <w14:schemeClr w14:val="tx1"/>
            </w14:solidFill>
          </w14:textFill>
        </w:rPr>
        <w:t>甲方采购乙方</w:t>
      </w:r>
      <w:r>
        <w:rPr>
          <w:rFonts w:hint="default" w:ascii="Times New Roman Regular" w:hAnsi="Times New Roman Regular" w:eastAsia="方正仿宋_GBK" w:cs="Times New Roman Regular"/>
          <w:color w:val="000000" w:themeColor="text1"/>
          <w:sz w:val="32"/>
          <w:szCs w:val="32"/>
          <w:highlight w:val="none"/>
          <w:u w:val="single"/>
          <w:lang w:bidi="ar"/>
          <w14:textFill>
            <w14:solidFill>
              <w14:schemeClr w14:val="tx1"/>
            </w14:solidFill>
          </w14:textFill>
        </w:rPr>
        <w:t>2025</w:t>
      </w:r>
      <w:r>
        <w:rPr>
          <w:rFonts w:hint="default" w:ascii="Times New Roman Regular" w:hAnsi="Times New Roman Regular" w:eastAsia="方正仿宋_GBK" w:cs="Times New Roman Regular"/>
          <w:color w:val="000000" w:themeColor="text1"/>
          <w:kern w:val="2"/>
          <w:sz w:val="32"/>
          <w:szCs w:val="32"/>
          <w:highlight w:val="none"/>
          <w:lang w:bidi="ar"/>
          <w14:textFill>
            <w14:solidFill>
              <w14:schemeClr w14:val="tx1"/>
            </w14:solidFill>
          </w14:textFill>
        </w:rPr>
        <w:t>年产</w:t>
      </w:r>
      <w:r>
        <w:rPr>
          <w:rFonts w:hint="eastAsia" w:ascii="Times New Roman Regular" w:hAnsi="Times New Roman Regular" w:eastAsia="方正仿宋_GBK" w:cs="Times New Roman Regular"/>
          <w:color w:val="000000" w:themeColor="text1"/>
          <w:kern w:val="2"/>
          <w:sz w:val="32"/>
          <w:szCs w:val="32"/>
          <w:highlight w:val="none"/>
          <w:u w:val="single"/>
          <w:lang w:val="en-US" w:eastAsia="zh-CN" w:bidi="ar"/>
          <w14:textFill>
            <w14:solidFill>
              <w14:schemeClr w14:val="tx1"/>
            </w14:solidFill>
          </w14:textFill>
        </w:rPr>
        <w:t>粳稻**</w:t>
      </w:r>
      <w:r>
        <w:rPr>
          <w:rFonts w:hint="default" w:ascii="Times New Roman Regular" w:hAnsi="Times New Roman Regular" w:eastAsia="方正仿宋_GBK" w:cs="Times New Roman Regular"/>
          <w:color w:val="000000" w:themeColor="text1"/>
          <w:kern w:val="2"/>
          <w:sz w:val="32"/>
          <w:szCs w:val="32"/>
          <w:highlight w:val="none"/>
          <w:lang w:bidi="ar"/>
          <w14:textFill>
            <w14:solidFill>
              <w14:schemeClr w14:val="tx1"/>
            </w14:solidFill>
          </w14:textFill>
        </w:rPr>
        <w:t>吨</w:t>
      </w:r>
      <w:r>
        <w:rPr>
          <w:rFonts w:hint="default" w:ascii="Times New Roman Regular" w:hAnsi="Times New Roman Regular" w:eastAsia="方正仿宋_GBK" w:cs="Times New Roman Regular"/>
          <w:color w:val="000000" w:themeColor="text1"/>
          <w:kern w:val="2"/>
          <w:sz w:val="32"/>
          <w:szCs w:val="32"/>
          <w:highlight w:val="none"/>
          <w:lang w:eastAsia="zh-CN" w:bidi="ar"/>
          <w14:textFill>
            <w14:solidFill>
              <w14:schemeClr w14:val="tx1"/>
            </w14:solidFill>
          </w14:textFill>
        </w:rPr>
        <w:t>：</w:t>
      </w:r>
    </w:p>
    <w:p w14:paraId="00C3D090">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1.入库时间：在</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202</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5</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年</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11</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月</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25</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日</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前完成入库粮食</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吨。具体仓号、数量以粮食入库后双方书面确认单为准。</w:t>
      </w:r>
    </w:p>
    <w:p w14:paraId="7324E4E6">
      <w:pPr>
        <w:tabs>
          <w:tab w:val="left" w:pos="1305"/>
        </w:tabs>
        <w:adjustRightInd w:val="0"/>
        <w:snapToGrid w:val="0"/>
        <w:spacing w:line="590" w:lineRule="exact"/>
        <w:ind w:right="630" w:rightChars="300" w:firstLine="640" w:firstLineChars="200"/>
        <w:rPr>
          <w:rFonts w:hint="default" w:ascii="Times New Roman Regular" w:hAnsi="Times New Roman Regular" w:eastAsia="方正仿宋_GBK" w:cs="Times New Roman Regular"/>
          <w:color w:val="000000" w:themeColor="text1"/>
          <w:sz w:val="32"/>
          <w:szCs w:val="32"/>
          <w:highlight w:val="none"/>
          <w:u w:val="single"/>
          <w:lang w:eastAsia="zh-CN"/>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2.交货地点：</w:t>
      </w:r>
      <w:r>
        <w:rPr>
          <w:rFonts w:hint="default" w:ascii="Times New Roman Regular" w:hAnsi="Times New Roman Regular" w:eastAsia="方正仿宋_GBK" w:cs="Times New Roman Regular"/>
          <w:sz w:val="32"/>
          <w:szCs w:val="32"/>
          <w:highlight w:val="none"/>
          <w:u w:val="single"/>
        </w:rPr>
        <w:t>江苏省粮食集团昆山粮食收储有限公司</w:t>
      </w:r>
      <w:r>
        <w:rPr>
          <w:rFonts w:hint="default" w:ascii="Times New Roman Regular" w:hAnsi="Times New Roman Regular" w:eastAsia="方正仿宋_GBK" w:cs="Times New Roman Regular"/>
          <w:sz w:val="32"/>
          <w:szCs w:val="32"/>
          <w:highlight w:val="none"/>
          <w:u w:val="single"/>
          <w:lang w:eastAsia="zh-CN"/>
        </w:rPr>
        <w:t>。</w:t>
      </w:r>
    </w:p>
    <w:p w14:paraId="696E3B6C">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3.入库价格：设定初始采购价为</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2800</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元/吨（甲方散装自卸车（船）板价）。为保证储备粮按时轮入和市场价接轨，允许入库价格根据市场价格进行调整，以甲方和</w:t>
      </w:r>
      <w:r>
        <w:rPr>
          <w:rFonts w:hint="default"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乙方</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双方价格确认书为准，最终入库价格以单仓为单位，以单仓入库平均价格确定为入库价格。</w:t>
      </w:r>
    </w:p>
    <w:p w14:paraId="44EA8AF5">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4.入库方式：由乙方组织供货。</w:t>
      </w:r>
    </w:p>
    <w:p w14:paraId="74E1A1FB">
      <w:pPr>
        <w:spacing w:line="590" w:lineRule="exact"/>
        <w:ind w:right="60"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5.入库质量要求：2025年度江苏产</w:t>
      </w:r>
      <w:r>
        <w:rPr>
          <w:rFonts w:hint="default"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粳稻</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，符合国标三等及以上标准，要求水分≤</w:t>
      </w:r>
      <w:r>
        <w:rPr>
          <w:rFonts w:hint="default"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14.5</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%，每高0.5%，扣量0.65%；高不足0.5%的，不计增扣量；水分&gt;</w:t>
      </w:r>
      <w:r>
        <w:rPr>
          <w:rFonts w:hint="default"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15.0</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w:t>
      </w:r>
      <w:r>
        <w:rPr>
          <w:rFonts w:hint="eastAsia" w:ascii="Times New Roman Regular" w:hAnsi="Times New Roman Regular" w:eastAsia="方正仿宋_GBK" w:cs="Times New Roman Regular"/>
          <w:color w:val="000000" w:themeColor="text1"/>
          <w:sz w:val="32"/>
          <w:szCs w:val="32"/>
          <w:highlight w:val="none"/>
          <w:u w:val="none"/>
          <w:lang w:val="en-US" w:eastAsia="zh-CN"/>
          <w14:textFill>
            <w14:solidFill>
              <w14:schemeClr w14:val="tx1"/>
            </w14:solidFill>
          </w14:textFill>
        </w:rPr>
        <w:t>有权</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拒收；要求杂质≤1%，若杂质1%＜杂质≤2%，过筛回杂</w:t>
      </w:r>
      <w:r>
        <w:rPr>
          <w:rFonts w:hint="eastAsia"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过筛入库，筛下物</w:t>
      </w:r>
      <w:r>
        <w:rPr>
          <w:rFonts w:hint="default"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乙方</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带回，</w:t>
      </w:r>
      <w:r>
        <w:rPr>
          <w:rFonts w:hint="default" w:ascii="Times New Roman Regular" w:hAnsi="Times New Roman Regular" w:eastAsia="方正仿宋_GBK" w:cs="Times New Roman Regular"/>
          <w:sz w:val="32"/>
          <w:szCs w:val="32"/>
          <w:highlight w:val="none"/>
        </w:rPr>
        <w:t>整理费用</w:t>
      </w:r>
      <w:r>
        <w:rPr>
          <w:rFonts w:hint="eastAsia" w:ascii="Times New Roman Regular" w:hAnsi="Times New Roman Regular" w:eastAsia="方正仿宋_GBK" w:cs="Times New Roman Regular"/>
          <w:sz w:val="32"/>
          <w:szCs w:val="32"/>
          <w:highlight w:val="none"/>
          <w:lang w:val="en-US" w:eastAsia="zh-CN"/>
        </w:rPr>
        <w:t>为5元/吨</w:t>
      </w:r>
      <w:r>
        <w:rPr>
          <w:rFonts w:hint="eastAsia"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，杂质＞2%原则上拒收</w:t>
      </w:r>
      <w:r>
        <w:rPr>
          <w:rFonts w:hint="default"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色泽气味正常，无黄粒米，其他质量指标达到国家规定中等标准以上；品质指标宜存，黄曲霉毒素</w:t>
      </w:r>
      <w:r>
        <w:rPr>
          <w:rFonts w:hint="default" w:ascii="Times New Roman" w:hAnsi="Times New Roman" w:eastAsia="方正仿宋_GBK" w:cs="Times New Roman"/>
          <w:color w:val="000000" w:themeColor="text1"/>
          <w:sz w:val="32"/>
          <w:szCs w:val="32"/>
          <w:highlight w:val="none"/>
          <w14:textFill>
            <w14:solidFill>
              <w14:schemeClr w14:val="tx1"/>
            </w14:solidFill>
          </w14:textFill>
        </w:rPr>
        <w:t>B1＜10ug/kg，铅含量＜0.2mg/kg，镉含量＜0.2mg/kg</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，其他食品安全卫生指标符合国家食品卫生指标标准，超过规定标准的买方有权拒收。</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乙方</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供货的粮食不得为陈粮或其他储备轮换粮。</w:t>
      </w:r>
    </w:p>
    <w:p w14:paraId="0F10173E">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6.验收办法：</w:t>
      </w:r>
    </w:p>
    <w:p w14:paraId="77585F24">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（1）质量确认：入库时双方在交货地验质，如对检验方法、标准或质量结果有异议，可委托有资质的</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粮食</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检验机构检验，检验费用由异议提出方先行支付，异议成立的，最终由被异议方承担。</w:t>
      </w:r>
    </w:p>
    <w:p w14:paraId="1446DC12">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（2）数量确认：以交货库点地磅称重为准，乙方应当派人监磅，并对数量进行确认。</w:t>
      </w:r>
      <w:r>
        <w:rPr>
          <w:rFonts w:hint="default" w:ascii="Times New Roman Regular" w:hAnsi="Times New Roman Regular" w:eastAsia="方正仿宋_GBK" w:cs="Times New Roman Regular"/>
          <w:sz w:val="32"/>
          <w:szCs w:val="32"/>
          <w:highlight w:val="none"/>
        </w:rPr>
        <w:t>乙方如未派人监磅视为认可过磅数量。</w:t>
      </w:r>
    </w:p>
    <w:p w14:paraId="7D7558E8">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（3）乙方如有数量、质量异议应在入库卸货前提出，逾期未提异议的视为交付合格。</w:t>
      </w:r>
    </w:p>
    <w:p w14:paraId="19E0A93B">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（4）粮食入库后，甲乙双方须对入库粮食的存储仓号、数量、质量、价格等进行书面确认。</w:t>
      </w:r>
    </w:p>
    <w:p w14:paraId="5AC8F41B">
      <w:pPr>
        <w:widowControl/>
        <w:numPr>
          <w:ilvl w:val="0"/>
          <w:numId w:val="1"/>
        </w:numPr>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default" w:ascii="Times New Roman Regular" w:hAnsi="Times New Roman Regular" w:eastAsia="方正黑体_GBK" w:cs="Times New Roman Regular"/>
          <w:color w:val="000000"/>
          <w:kern w:val="0"/>
          <w:sz w:val="32"/>
          <w:szCs w:val="32"/>
          <w:highlight w:val="none"/>
          <w:lang w:bidi="ar"/>
        </w:rPr>
        <w:t>乙方回购事项</w:t>
      </w:r>
    </w:p>
    <w:p w14:paraId="6A498812">
      <w:pPr>
        <w:spacing w:line="590" w:lineRule="exact"/>
        <w:ind w:firstLine="560"/>
        <w:jc w:val="lef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1. 本次购销合作双向交易中，约定销售事项为乙方回购，乙方回购的粮食为本次采购的在未来时点轮出的粮食，回购粮食时间以甲方通知出库时间为准。具体回购时间为：</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202</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6</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年</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7</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9</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月出库</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2500</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吨</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或</w:t>
      </w:r>
      <w:r>
        <w:rPr>
          <w:rFonts w:hint="default" w:ascii="Times New Roman Regular" w:hAnsi="Times New Roman Regular" w:eastAsia="方正仿宋_GBK" w:cs="Times New Roman Regular"/>
          <w:sz w:val="32"/>
          <w:szCs w:val="32"/>
          <w:highlight w:val="none"/>
          <w:u w:val="single"/>
        </w:rPr>
        <w:t>202</w:t>
      </w:r>
      <w:r>
        <w:rPr>
          <w:rFonts w:hint="eastAsia" w:ascii="Times New Roman Regular" w:hAnsi="Times New Roman Regular" w:eastAsia="方正仿宋_GBK" w:cs="Times New Roman Regular"/>
          <w:sz w:val="32"/>
          <w:szCs w:val="32"/>
          <w:highlight w:val="none"/>
          <w:u w:val="single"/>
          <w:lang w:val="en-US" w:eastAsia="zh-CN"/>
        </w:rPr>
        <w:t>6</w:t>
      </w:r>
      <w:r>
        <w:rPr>
          <w:rFonts w:hint="default" w:ascii="Times New Roman Regular" w:hAnsi="Times New Roman Regular" w:eastAsia="方正仿宋_GBK" w:cs="Times New Roman Regular"/>
          <w:sz w:val="32"/>
          <w:szCs w:val="32"/>
          <w:highlight w:val="none"/>
          <w:u w:val="single"/>
        </w:rPr>
        <w:t>年</w:t>
      </w:r>
      <w:r>
        <w:rPr>
          <w:rFonts w:hint="eastAsia" w:ascii="Times New Roman Regular" w:hAnsi="Times New Roman Regular" w:eastAsia="方正仿宋_GBK" w:cs="Times New Roman Regular"/>
          <w:sz w:val="32"/>
          <w:szCs w:val="32"/>
          <w:highlight w:val="none"/>
          <w:u w:val="single"/>
          <w:lang w:val="en-US" w:eastAsia="zh-CN"/>
        </w:rPr>
        <w:t>8</w:t>
      </w:r>
      <w:r>
        <w:rPr>
          <w:rFonts w:hint="default" w:ascii="Times New Roman Regular" w:hAnsi="Times New Roman Regular" w:eastAsia="方正仿宋_GBK" w:cs="Times New Roman Regular"/>
          <w:sz w:val="32"/>
          <w:szCs w:val="32"/>
          <w:highlight w:val="none"/>
          <w:u w:val="single"/>
        </w:rPr>
        <w:t>-</w:t>
      </w:r>
      <w:r>
        <w:rPr>
          <w:rFonts w:hint="eastAsia" w:ascii="Times New Roman Regular" w:hAnsi="Times New Roman Regular" w:eastAsia="方正仿宋_GBK" w:cs="Times New Roman Regular"/>
          <w:sz w:val="32"/>
          <w:szCs w:val="32"/>
          <w:highlight w:val="none"/>
          <w:u w:val="single"/>
          <w:lang w:val="en-US" w:eastAsia="zh-CN"/>
        </w:rPr>
        <w:t>10</w:t>
      </w:r>
      <w:r>
        <w:rPr>
          <w:rFonts w:hint="default" w:ascii="Times New Roman Regular" w:hAnsi="Times New Roman Regular" w:eastAsia="方正仿宋_GBK" w:cs="Times New Roman Regular"/>
          <w:sz w:val="32"/>
          <w:szCs w:val="32"/>
          <w:highlight w:val="none"/>
          <w:u w:val="single"/>
        </w:rPr>
        <w:t>月出库</w:t>
      </w:r>
      <w:r>
        <w:rPr>
          <w:rFonts w:hint="eastAsia" w:ascii="Times New Roman Regular" w:hAnsi="Times New Roman Regular" w:eastAsia="方正仿宋_GBK" w:cs="Times New Roman Regular"/>
          <w:sz w:val="32"/>
          <w:szCs w:val="32"/>
          <w:highlight w:val="none"/>
          <w:u w:val="single"/>
          <w:lang w:val="en-US" w:eastAsia="zh-CN"/>
        </w:rPr>
        <w:t>**</w:t>
      </w:r>
      <w:r>
        <w:rPr>
          <w:rFonts w:hint="default" w:ascii="Times New Roman Regular" w:hAnsi="Times New Roman Regular" w:eastAsia="方正仿宋_GBK" w:cs="Times New Roman Regular"/>
          <w:sz w:val="32"/>
          <w:szCs w:val="32"/>
          <w:highlight w:val="none"/>
          <w:u w:val="single"/>
        </w:rPr>
        <w:t>吨</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（甲方按照省级储备粮月末库存不低于总量70%开展轮换。</w:t>
      </w:r>
      <w:r>
        <w:rPr>
          <w:rFonts w:hint="default" w:ascii="Times New Roman Regular" w:hAnsi="Times New Roman Regular" w:eastAsia="方正仿宋_GBK" w:cs="Times New Roman Regular"/>
          <w:color w:val="000000"/>
          <w:kern w:val="2"/>
          <w:sz w:val="32"/>
          <w:szCs w:val="32"/>
          <w:highlight w:val="none"/>
          <w:lang w:bidi="ar"/>
        </w:rPr>
        <w:t>销售段的提货</w:t>
      </w:r>
      <w:r>
        <w:rPr>
          <w:rFonts w:hint="eastAsia" w:ascii="Times New Roman Regular" w:hAnsi="Times New Roman Regular" w:eastAsia="方正仿宋_GBK" w:cs="Times New Roman Regular"/>
          <w:color w:val="000000"/>
          <w:kern w:val="2"/>
          <w:sz w:val="32"/>
          <w:szCs w:val="32"/>
          <w:highlight w:val="none"/>
          <w:lang w:val="en-US" w:eastAsia="zh-CN" w:bidi="ar"/>
        </w:rPr>
        <w:t>须</w:t>
      </w:r>
      <w:r>
        <w:rPr>
          <w:rFonts w:hint="default" w:ascii="Times New Roman Regular" w:hAnsi="Times New Roman Regular" w:eastAsia="方正仿宋_GBK" w:cs="Times New Roman Regular"/>
          <w:color w:val="000000"/>
          <w:kern w:val="2"/>
          <w:sz w:val="32"/>
          <w:szCs w:val="32"/>
          <w:highlight w:val="none"/>
          <w:lang w:bidi="ar"/>
        </w:rPr>
        <w:t>在获得储备粮轮出批复后才生效</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如合同中的储备粮被政府调用，本次购销合作双向交易中的销售合同终止履行，乙方不得强求甲方履行合同或要求甲方承担违约责任，乙方的权益按照“五、3”条款中内容补偿。）</w:t>
      </w:r>
    </w:p>
    <w:p w14:paraId="21F619B2">
      <w:pPr>
        <w:spacing w:line="590" w:lineRule="exact"/>
        <w:ind w:firstLine="560"/>
        <w:jc w:val="lef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2.根据竞价交易结果，在设定初始采购价</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2800</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元/吨基础上的回购价格及价差，即</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仓库车（船）板价</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元/吨（本处价格由竞价交易产生）。若实际入库价格调整，乙方回购的最终销售价=成交价-设定初始采购价+入库平均价格。(最终销售价高于成交价时，</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甲乙</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双方签订补充协议，超出部分的货款在线下完成收付）</w:t>
      </w:r>
    </w:p>
    <w:p w14:paraId="79447E81">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3.回购粮食数量以入库数量为准，以单个仓房为单位，双方按照保管账面数结算，合理损耗部分由乙方承担。</w:t>
      </w:r>
    </w:p>
    <w:p w14:paraId="53B60795">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4.回购粮食质量以在库粮食质量为准，甲方提供符合相关规定的检验报告。</w:t>
      </w:r>
    </w:p>
    <w:p w14:paraId="094DCE8D">
      <w:pPr>
        <w:widowControl/>
        <w:numPr>
          <w:ilvl w:val="0"/>
          <w:numId w:val="1"/>
        </w:numPr>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default" w:ascii="Times New Roman Regular" w:hAnsi="Times New Roman Regular" w:eastAsia="方正黑体_GBK" w:cs="Times New Roman Regular"/>
          <w:color w:val="000000"/>
          <w:kern w:val="0"/>
          <w:sz w:val="32"/>
          <w:szCs w:val="32"/>
          <w:highlight w:val="none"/>
          <w:lang w:bidi="ar"/>
        </w:rPr>
        <w:t>合同定金及保证金的支付与退还</w:t>
      </w:r>
    </w:p>
    <w:p w14:paraId="08F9AE86">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1.乙方除向江苏市场等第三方缴纳规定的交易保证金外，</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须</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先向甲方交纳合同定金100元/吨，定金交付后，交易系统内的购、销双向交易合同正式生效，该项定金适用于双倍罚则。</w:t>
      </w:r>
    </w:p>
    <w:p w14:paraId="6DA9001A">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2.乙方</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须</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按货款金额的10</w:t>
      </w:r>
      <w:r>
        <w:rPr>
          <w:rFonts w:hint="eastAsia"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向甲方缴纳风险保证金（包含乙方向省交易市场缴纳的销售交易保证金10元/吨）。甲方根据收购入库进度分批次收取风险保证金，合同定金可转为风险保证金。风险保证金不计利息，在乙方回购阶段以单仓为单位最后一批粮食出库后退回至乙方。如</w:t>
      </w:r>
      <w:r>
        <w:rPr>
          <w:rFonts w:hint="default"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保证金不能覆盖因价格波动导致的市场价差</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，乙方</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须</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按甲方通知时间截止期内，及时补足保证金，否则视为乙方违约</w:t>
      </w:r>
      <w:r>
        <w:rPr>
          <w:rFonts w:hint="eastAsia"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乙方保证金归甲方所有，合同终止。</w:t>
      </w:r>
    </w:p>
    <w:p w14:paraId="0775D2D8">
      <w:pPr>
        <w:tabs>
          <w:tab w:val="left" w:pos="690"/>
        </w:tabs>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3.采购合同项下，</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甲乙</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双方自主交割，甲方在规定的合同入库期限（</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202</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5</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年</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11</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月</w:t>
      </w:r>
      <w:r>
        <w:rPr>
          <w:rFonts w:hint="eastAsia" w:ascii="Times New Roman Regular" w:hAnsi="Times New Roman Regular" w:eastAsia="方正仿宋_GBK" w:cs="Times New Roman Regular"/>
          <w:color w:val="000000" w:themeColor="text1"/>
          <w:sz w:val="32"/>
          <w:szCs w:val="32"/>
          <w:highlight w:val="none"/>
          <w:u w:val="single"/>
          <w:lang w:val="en-US" w:eastAsia="zh-CN"/>
          <w14:textFill>
            <w14:solidFill>
              <w14:schemeClr w14:val="tx1"/>
            </w14:solidFill>
          </w14:textFill>
        </w:rPr>
        <w:t>25</w:t>
      </w:r>
      <w:r>
        <w:rPr>
          <w:rFonts w:hint="default" w:ascii="Times New Roman Regular" w:hAnsi="Times New Roman Regular" w:eastAsia="方正仿宋_GBK" w:cs="Times New Roman Regular"/>
          <w:color w:val="000000" w:themeColor="text1"/>
          <w:sz w:val="32"/>
          <w:szCs w:val="32"/>
          <w:highlight w:val="none"/>
          <w:u w:val="single"/>
          <w14:textFill>
            <w14:solidFill>
              <w14:schemeClr w14:val="tx1"/>
            </w14:solidFill>
          </w14:textFill>
        </w:rPr>
        <w:t>日前</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）内按到货进度付款，采购合同交割期截止日以清单为准，采购合同完成率</w:t>
      </w:r>
      <w:r>
        <w:rPr>
          <w:rFonts w:hint="default"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原则上</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达到100%</w:t>
      </w:r>
      <w:r>
        <w:rPr>
          <w:rFonts w:hint="default"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最终数量</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以甲方与乙方签订的数量质量价格确认单为准，乙方</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须</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提供相应增值税发票后方可确认交易完成。双方交收完毕后江苏市场凭双方签订的采购确认单等有效文件清退定金。</w:t>
      </w:r>
    </w:p>
    <w:p w14:paraId="4E266370">
      <w:pPr>
        <w:tabs>
          <w:tab w:val="left" w:pos="690"/>
        </w:tabs>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4.销售合同项下，在合同交割期内，乙方</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须</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将货款汇至江苏市场账户（与保证金账户一致）并在系统申请开具出库通知单，凭市场出库单及身份证明到甲方提货。销售粮食交收完毕，甲乙双方在系统签订</w:t>
      </w:r>
      <w:r>
        <w:rPr>
          <w:rFonts w:hint="eastAsia"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验收确认单</w:t>
      </w:r>
      <w:r>
        <w:rPr>
          <w:rFonts w:hint="eastAsia"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后，江苏市场退还乙方扣除手续费部分的保证金（与中标结果数量、价格差异部分由甲方与乙方按实结算）。</w:t>
      </w:r>
    </w:p>
    <w:p w14:paraId="1BBDC33C">
      <w:pPr>
        <w:tabs>
          <w:tab w:val="left" w:pos="690"/>
        </w:tabs>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5.</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合同履约结束后，</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在</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双方无任何经济纠纷</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的前提下</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，甲方应及时退还乙方尚未冲抵的风险保证金。</w:t>
      </w:r>
    </w:p>
    <w:p w14:paraId="31C197A8">
      <w:pPr>
        <w:widowControl/>
        <w:numPr>
          <w:ilvl w:val="0"/>
          <w:numId w:val="1"/>
        </w:numPr>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default" w:ascii="Times New Roman Regular" w:hAnsi="Times New Roman Regular" w:eastAsia="方正黑体_GBK" w:cs="Times New Roman Regular"/>
          <w:color w:val="000000"/>
          <w:kern w:val="0"/>
          <w:sz w:val="32"/>
          <w:szCs w:val="32"/>
          <w:highlight w:val="none"/>
          <w:lang w:bidi="ar"/>
        </w:rPr>
        <w:t>费用结算和发票开具</w:t>
      </w:r>
    </w:p>
    <w:p w14:paraId="6AE3C4F2">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1.入库结算：甲方按照到货进度付款</w:t>
      </w:r>
      <w:r>
        <w:rPr>
          <w:rFonts w:hint="default"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乙方向甲方开具相应的增值税发票。</w:t>
      </w:r>
    </w:p>
    <w:p w14:paraId="3F076B9B">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2.销售结算：乙方根据甲方通知，先款后货，凭出库通知单提货，甲方向乙方开具相应的增值税发票。</w:t>
      </w:r>
    </w:p>
    <w:p w14:paraId="1AB7DE2C">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3.进出库费用：乙方</w:t>
      </w:r>
      <w:r>
        <w:rPr>
          <w:rFonts w:hint="default"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承担</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进库时仓库散装车（船）板前费用（包括但不限于</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过筛费、整理费</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等）</w:t>
      </w:r>
      <w:r>
        <w:rPr>
          <w:rFonts w:hint="default"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出库时仓库散装车（船）板后费用。</w:t>
      </w:r>
    </w:p>
    <w:p w14:paraId="1AD2EEB1">
      <w:pPr>
        <w:widowControl/>
        <w:numPr>
          <w:ilvl w:val="0"/>
          <w:numId w:val="1"/>
        </w:numPr>
        <w:adjustRightInd/>
        <w:snapToGrid/>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eastAsia" w:ascii="Times New Roman Regular" w:hAnsi="Times New Roman Regular" w:eastAsia="方正黑体_GBK" w:cs="Times New Roman Regular"/>
          <w:color w:val="000000"/>
          <w:kern w:val="0"/>
          <w:sz w:val="32"/>
          <w:szCs w:val="32"/>
          <w:highlight w:val="none"/>
          <w:lang w:val="en-US" w:eastAsia="zh-CN" w:bidi="ar"/>
        </w:rPr>
        <w:t>注意事项</w:t>
      </w:r>
    </w:p>
    <w:p w14:paraId="291BB253">
      <w:pPr>
        <w:tabs>
          <w:tab w:val="left" w:pos="1305"/>
        </w:tabs>
        <w:adjustRightInd w:val="0"/>
        <w:snapToGrid w:val="0"/>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1.乙方通过竞价交易的方式获得购销合作的权利，乙方按照甲方委托公告的要求参加竞价交易。本次购销双向交易采取以采竞销的交易方式。一次交易实现同一数量的地方储备粮采购（轮入）和销售（轮出）。采购价格固定，竞价方只需对销售标的物的底价进行竞价，一旦竞价销售标的物竞价成交，则相对应的采购标的物同时成交，最终销售价以竞价交易确认的成交价为依据、并按本合同 “二、2”条款计算确认。</w:t>
      </w:r>
    </w:p>
    <w:p w14:paraId="2694F292">
      <w:pPr>
        <w:tabs>
          <w:tab w:val="left" w:pos="1305"/>
        </w:tabs>
        <w:adjustRightInd w:val="0"/>
        <w:snapToGrid w:val="0"/>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2.竞价成功获得合作购销权利后，乙方</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须</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 xml:space="preserve">与甲方签订本合同，原则上7个工作日不签订本合同，认定为乙方竞价中标后违约。 </w:t>
      </w:r>
    </w:p>
    <w:p w14:paraId="3B2A8B67">
      <w:pPr>
        <w:spacing w:line="590" w:lineRule="exac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b/>
          <w:bCs/>
          <w:color w:val="000000" w:themeColor="text1"/>
          <w:sz w:val="32"/>
          <w:szCs w:val="32"/>
          <w:highlight w:val="none"/>
          <w14:textFill>
            <w14:solidFill>
              <w14:schemeClr w14:val="tx1"/>
            </w14:solidFill>
          </w14:textFill>
        </w:rPr>
        <w:t xml:space="preserve">    </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3.如遇政策调控，甲乙双方应无条件服从政府调控需要，互不承担违约责任。甲方按上级制定的调拨价格扣除相关税费后全额与乙方进行结算。</w:t>
      </w:r>
    </w:p>
    <w:p w14:paraId="6A32C961">
      <w:pPr>
        <w:spacing w:line="590" w:lineRule="exac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 xml:space="preserve">   4.粮食入库后由甲方保管，并确保保管期间的入库粮食数量真实、质量良好。储存期间需符合地方储备粮管理规定，入库完毕后双方共同确认数量和质量。</w:t>
      </w:r>
    </w:p>
    <w:p w14:paraId="39647BB6">
      <w:pPr>
        <w:tabs>
          <w:tab w:val="left" w:pos="690"/>
        </w:tabs>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5.该批粮食的实际水杂减量和保管损耗由乙方承担。提货时甲方每开一个仓，乙方必须在30日历日内提完，避免动仓后粮食质量下降。因乙方未按要求及时提货造成的粮食质量等损失均由乙方负全责。</w:t>
      </w:r>
    </w:p>
    <w:p w14:paraId="5EEAB70D">
      <w:pPr>
        <w:tabs>
          <w:tab w:val="left" w:pos="690"/>
        </w:tabs>
        <w:spacing w:line="590" w:lineRule="exact"/>
        <w:ind w:firstLine="640" w:firstLineChars="200"/>
        <w:jc w:val="lef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6.涉及储备粮业务的各项补贴与乙方无关。</w:t>
      </w:r>
    </w:p>
    <w:p w14:paraId="6D7D67EE">
      <w:pPr>
        <w:widowControl/>
        <w:numPr>
          <w:ilvl w:val="0"/>
          <w:numId w:val="1"/>
        </w:numPr>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default" w:ascii="Times New Roman Regular" w:hAnsi="Times New Roman Regular" w:eastAsia="方正黑体_GBK" w:cs="Times New Roman Regular"/>
          <w:color w:val="000000"/>
          <w:kern w:val="0"/>
          <w:sz w:val="32"/>
          <w:szCs w:val="32"/>
          <w:highlight w:val="none"/>
          <w:lang w:bidi="ar"/>
        </w:rPr>
        <w:t>违约责任</w:t>
      </w:r>
    </w:p>
    <w:p w14:paraId="7F08F91D">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1.乙方不能按合同时间、数量和质量送达，影响甲方储备入库计划</w:t>
      </w:r>
      <w:r>
        <w:rPr>
          <w:rFonts w:hint="eastAsia" w:ascii="Times New Roman Regular" w:hAnsi="Times New Roman Regular" w:eastAsia="方正仿宋_GBK" w:cs="Times New Roman Regular"/>
          <w:color w:val="000000" w:themeColor="text1"/>
          <w:sz w:val="32"/>
          <w:szCs w:val="32"/>
          <w:highlight w:val="none"/>
          <w:lang w:eastAsia="zh-CN"/>
          <w14:textFill>
            <w14:solidFill>
              <w14:schemeClr w14:val="tx1"/>
            </w14:solidFill>
          </w14:textFill>
        </w:rPr>
        <w:t>，</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按违约处理，乙方保证金归甲方所有，合同终止。</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协商一致的除外。</w:t>
      </w:r>
    </w:p>
    <w:p w14:paraId="1649BDDB">
      <w:pPr>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2.如乙方逾期未提清约定数量且未协商一致，则视作乙方违约，乙方</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须</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支付给甲方总货款20%的违约金，未提数量甲方不再销售给乙方，而由甲方另行销售，货款用于偿还甲方前期购粮款及因乙方违约造成的损失，不足部分甲方保留向乙方追讨补足价差的权利。</w:t>
      </w:r>
    </w:p>
    <w:p w14:paraId="0DC5A4F2">
      <w:pPr>
        <w:widowControl/>
        <w:numPr>
          <w:ilvl w:val="0"/>
          <w:numId w:val="1"/>
        </w:numPr>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eastAsia" w:ascii="Times New Roman Regular" w:hAnsi="Times New Roman Regular" w:eastAsia="方正黑体_GBK" w:cs="Times New Roman Regular"/>
          <w:color w:val="000000"/>
          <w:kern w:val="0"/>
          <w:sz w:val="32"/>
          <w:szCs w:val="32"/>
          <w:highlight w:val="none"/>
          <w:lang w:val="en-US" w:eastAsia="zh-CN" w:bidi="ar"/>
        </w:rPr>
        <w:t>纠纷</w:t>
      </w:r>
      <w:r>
        <w:rPr>
          <w:rFonts w:hint="default" w:ascii="Times New Roman Regular" w:hAnsi="Times New Roman Regular" w:eastAsia="方正黑体_GBK" w:cs="Times New Roman Regular"/>
          <w:color w:val="000000"/>
          <w:kern w:val="0"/>
          <w:sz w:val="32"/>
          <w:szCs w:val="32"/>
          <w:highlight w:val="none"/>
          <w:lang w:bidi="ar"/>
        </w:rPr>
        <w:t>解决方式</w:t>
      </w:r>
    </w:p>
    <w:p w14:paraId="182E577D">
      <w:pPr>
        <w:tabs>
          <w:tab w:val="left" w:pos="690"/>
        </w:tabs>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协商解决或按《民法典》通过法律程序解决。出现合同纠纷和未尽事宜，双方可协商，签订补充协议，补充协议与本协议具有同等法律效力，不能协商一致，可向甲方所在地人民法院起诉。</w:t>
      </w:r>
    </w:p>
    <w:p w14:paraId="3BBBA7D8">
      <w:pPr>
        <w:widowControl/>
        <w:numPr>
          <w:ilvl w:val="0"/>
          <w:numId w:val="1"/>
        </w:numPr>
        <w:spacing w:line="590" w:lineRule="exact"/>
        <w:ind w:firstLine="646" w:firstLineChars="202"/>
        <w:jc w:val="left"/>
        <w:rPr>
          <w:rFonts w:hint="default" w:ascii="Times New Roman Regular" w:hAnsi="Times New Roman Regular" w:eastAsia="方正黑体_GBK" w:cs="Times New Roman Regular"/>
          <w:color w:val="000000"/>
          <w:kern w:val="0"/>
          <w:sz w:val="32"/>
          <w:szCs w:val="32"/>
          <w:highlight w:val="none"/>
          <w:lang w:bidi="ar"/>
        </w:rPr>
      </w:pPr>
      <w:r>
        <w:rPr>
          <w:rFonts w:hint="eastAsia" w:ascii="Times New Roman Regular" w:hAnsi="Times New Roman Regular" w:eastAsia="方正黑体_GBK" w:cs="Times New Roman Regular"/>
          <w:color w:val="000000"/>
          <w:kern w:val="0"/>
          <w:sz w:val="32"/>
          <w:szCs w:val="32"/>
          <w:highlight w:val="none"/>
          <w:lang w:val="en-US" w:eastAsia="zh-CN" w:bidi="ar"/>
        </w:rPr>
        <w:t>其他</w:t>
      </w:r>
    </w:p>
    <w:p w14:paraId="1034E733">
      <w:pPr>
        <w:tabs>
          <w:tab w:val="left" w:pos="690"/>
        </w:tabs>
        <w:spacing w:line="590" w:lineRule="exact"/>
        <w:ind w:firstLine="640" w:firstLineChars="200"/>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本合同一式两份，有效期至出库结束止。本合同相关传真件视同原件，传真件与原件不符的，以原件为准。</w:t>
      </w:r>
    </w:p>
    <w:p w14:paraId="2A99D1DE">
      <w:pPr>
        <w:tabs>
          <w:tab w:val="left" w:pos="690"/>
        </w:tabs>
        <w:spacing w:line="590" w:lineRule="exac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p>
    <w:p w14:paraId="21949F22">
      <w:pPr>
        <w:tabs>
          <w:tab w:val="left" w:pos="690"/>
        </w:tabs>
        <w:spacing w:line="590" w:lineRule="exact"/>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pPr>
    </w:p>
    <w:p w14:paraId="6A14ED5D">
      <w:pPr>
        <w:spacing w:line="590" w:lineRule="exact"/>
        <w:rPr>
          <w:rFonts w:hint="default" w:ascii="Times New Roman Regular" w:hAnsi="Times New Roman Regular" w:eastAsia="方正仿宋_GBK" w:cs="Times New Roman Regular"/>
          <w:sz w:val="32"/>
          <w:szCs w:val="32"/>
          <w:highlight w:val="none"/>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甲  方：</w:t>
      </w:r>
      <w:r>
        <w:rPr>
          <w:rFonts w:hint="default" w:ascii="Times New Roman Regular" w:hAnsi="Times New Roman Regular" w:eastAsia="方正仿宋_GBK" w:cs="Times New Roman Regular"/>
          <w:w w:val="85"/>
          <w:sz w:val="32"/>
          <w:szCs w:val="32"/>
          <w:highlight w:val="none"/>
        </w:rPr>
        <w:t xml:space="preserve">              </w:t>
      </w:r>
      <w:r>
        <w:rPr>
          <w:rFonts w:hint="eastAsia" w:ascii="Times New Roman Regular" w:hAnsi="Times New Roman Regular" w:eastAsia="方正仿宋_GBK" w:cs="Times New Roman Regular"/>
          <w:w w:val="85"/>
          <w:sz w:val="32"/>
          <w:szCs w:val="32"/>
          <w:highlight w:val="none"/>
          <w:lang w:val="en-US" w:eastAsia="zh-CN"/>
        </w:rPr>
        <w:t xml:space="preserve">            </w:t>
      </w:r>
      <w:r>
        <w:rPr>
          <w:rFonts w:hint="default" w:ascii="Times New Roman Regular" w:hAnsi="Times New Roman Regular" w:eastAsia="方正仿宋_GBK" w:cs="Times New Roman Regular"/>
          <w:sz w:val="32"/>
          <w:szCs w:val="32"/>
          <w:highlight w:val="none"/>
        </w:rPr>
        <w:t>乙  方：</w:t>
      </w:r>
    </w:p>
    <w:p w14:paraId="3FE30012">
      <w:pPr>
        <w:spacing w:line="590" w:lineRule="exact"/>
        <w:rPr>
          <w:rFonts w:hint="default" w:ascii="Times New Roman Regular" w:hAnsi="Times New Roman Regular" w:eastAsia="方正仿宋_GBK" w:cs="Times New Roman Regular"/>
          <w:color w:val="000000" w:themeColor="text1"/>
          <w:w w:val="80"/>
          <w:sz w:val="32"/>
          <w:szCs w:val="32"/>
          <w:highlight w:val="none"/>
          <w14:textFill>
            <w14:solidFill>
              <w14:schemeClr w14:val="tx1"/>
            </w14:solidFill>
          </w14:textFill>
        </w:rPr>
      </w:pPr>
      <w:r>
        <w:rPr>
          <w:rFonts w:hint="default" w:ascii="Times New Roman Regular" w:hAnsi="Times New Roman Regular" w:eastAsia="方正仿宋_GBK" w:cs="Times New Roman Regular"/>
          <w:color w:val="000000" w:themeColor="text1"/>
          <w:w w:val="80"/>
          <w:sz w:val="32"/>
          <w:szCs w:val="32"/>
          <w:highlight w:val="none"/>
          <w14:textFill>
            <w14:solidFill>
              <w14:schemeClr w14:val="tx1"/>
            </w14:solidFill>
          </w14:textFill>
        </w:rPr>
        <w:t>江苏省粮食集团昆山粮食收储有限公司</w:t>
      </w:r>
    </w:p>
    <w:p w14:paraId="028692FA">
      <w:pPr>
        <w:spacing w:line="590" w:lineRule="exact"/>
        <w:rPr>
          <w:rFonts w:hint="default" w:ascii="Times New Roman Regular" w:hAnsi="Times New Roman Regular" w:eastAsia="方正仿宋_GBK" w:cs="Times New Roman Regular"/>
          <w:sz w:val="32"/>
          <w:szCs w:val="32"/>
          <w:highlight w:val="none"/>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 xml:space="preserve">法人代表（委托人）：         </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 xml:space="preserve">  </w:t>
      </w:r>
      <w:r>
        <w:rPr>
          <w:rFonts w:hint="default" w:ascii="Times New Roman Regular" w:hAnsi="Times New Roman Regular" w:eastAsia="方正仿宋_GBK" w:cs="Times New Roman Regular"/>
          <w:sz w:val="32"/>
          <w:szCs w:val="32"/>
          <w:highlight w:val="none"/>
        </w:rPr>
        <w:t>法人代表（委托人）：</w:t>
      </w:r>
      <w:bookmarkStart w:id="0" w:name="_GoBack"/>
      <w:bookmarkEnd w:id="0"/>
    </w:p>
    <w:p w14:paraId="7FC12B87">
      <w:pPr>
        <w:spacing w:line="590" w:lineRule="exact"/>
        <w:rPr>
          <w:rFonts w:hint="default" w:ascii="Times New Roman Regular" w:hAnsi="Times New Roman Regular" w:eastAsia="方正仿宋_GBK" w:cs="Times New Roman Regular"/>
          <w:sz w:val="32"/>
          <w:szCs w:val="32"/>
          <w:highlight w:val="none"/>
        </w:rPr>
      </w:pPr>
    </w:p>
    <w:p w14:paraId="30AFC86A">
      <w:pPr>
        <w:spacing w:line="590" w:lineRule="exact"/>
        <w:rPr>
          <w:rFonts w:hint="default" w:ascii="Times New Roman Regular" w:hAnsi="Times New Roman Regular" w:eastAsia="方正仿宋_GBK" w:cs="Times New Roman Regular"/>
          <w:sz w:val="32"/>
          <w:szCs w:val="32"/>
          <w:highlight w:val="none"/>
        </w:rPr>
      </w:pP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 xml:space="preserve">日    期：                   </w:t>
      </w:r>
      <w:r>
        <w:rPr>
          <w:rFonts w:hint="eastAsia" w:ascii="Times New Roman Regular" w:hAnsi="Times New Roman Regular" w:eastAsia="方正仿宋_GBK" w:cs="Times New Roman Regular"/>
          <w:color w:val="000000" w:themeColor="text1"/>
          <w:sz w:val="32"/>
          <w:szCs w:val="32"/>
          <w:highlight w:val="none"/>
          <w:lang w:val="en-US" w:eastAsia="zh-CN"/>
          <w14:textFill>
            <w14:solidFill>
              <w14:schemeClr w14:val="tx1"/>
            </w14:solidFill>
          </w14:textFill>
        </w:rPr>
        <w:t xml:space="preserve"> </w:t>
      </w:r>
      <w:r>
        <w:rPr>
          <w:rFonts w:hint="default" w:ascii="Times New Roman Regular" w:hAnsi="Times New Roman Regular" w:eastAsia="方正仿宋_GBK" w:cs="Times New Roman Regular"/>
          <w:color w:val="000000" w:themeColor="text1"/>
          <w:sz w:val="32"/>
          <w:szCs w:val="32"/>
          <w:highlight w:val="none"/>
          <w14:textFill>
            <w14:solidFill>
              <w14:schemeClr w14:val="tx1"/>
            </w14:solidFill>
          </w14:textFill>
        </w:rPr>
        <w:t xml:space="preserve">日   期：            </w:t>
      </w:r>
    </w:p>
    <w:sectPr>
      <w:headerReference r:id="rId3" w:type="default"/>
      <w:footerReference r:id="rId4" w:type="default"/>
      <w:pgSz w:w="11906" w:h="16838"/>
      <w:pgMar w:top="1984" w:right="1531" w:bottom="1701" w:left="1531" w:header="851" w:footer="992" w:gutter="0"/>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Times New Roman Regular">
    <w:altName w:val="Times New Roman"/>
    <w:panose1 w:val="02020603050405020304"/>
    <w:charset w:val="00"/>
    <w:family w:val="auto"/>
    <w:pitch w:val="default"/>
    <w:sig w:usb0="00000000" w:usb1="00000000" w:usb2="00000009" w:usb3="00000000" w:csb0="400001FF" w:csb1="FFFF0000"/>
  </w:font>
  <w:font w:name="方正仿宋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812605">
    <w:pPr>
      <w:pStyle w:val="3"/>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09E1DBB">
                          <w:pPr>
                            <w:pStyle w:val="3"/>
                          </w:pPr>
                          <w:r>
                            <w:t xml:space="preserve">— </w:t>
                          </w:r>
                          <w:r>
                            <w:fldChar w:fldCharType="begin"/>
                          </w:r>
                          <w:r>
                            <w:instrText xml:space="preserve"> PAGE  \* MERGEFORMAT </w:instrText>
                          </w:r>
                          <w:r>
                            <w:fldChar w:fldCharType="separate"/>
                          </w:r>
                          <w:r>
                            <w:t>1</w:t>
                          </w:r>
                          <w:r>
                            <w:fldChar w:fldCharType="end"/>
                          </w:r>
                          <w: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14:paraId="609E1DBB">
                    <w:pPr>
                      <w:pStyle w:val="3"/>
                    </w:pPr>
                    <w:r>
                      <w:t xml:space="preserve">— </w:t>
                    </w:r>
                    <w:r>
                      <w:fldChar w:fldCharType="begin"/>
                    </w:r>
                    <w:r>
                      <w:instrText xml:space="preserve"> PAGE  \* MERGEFORMAT </w:instrText>
                    </w:r>
                    <w:r>
                      <w:fldChar w:fldCharType="separate"/>
                    </w:r>
                    <w:r>
                      <w:t>1</w:t>
                    </w:r>
                    <w:r>
                      <w:fldChar w:fldCharType="end"/>
                    </w:r>
                    <w:r>
                      <w:t xml:space="preserve"> —</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E86BC1">
    <w:pPr>
      <w:pStyle w:val="4"/>
      <w:rPr>
        <w:rFonts w:hint="default"/>
        <w:lang w:val="en-US"/>
      </w:rPr>
    </w:pPr>
    <w:r>
      <w:pict>
        <v:shape id="PowerPlusWaterMarkObject14127" o:spid="_x0000_s3074" o:spt="136" type="#_x0000_t136" style="position:absolute;left:0pt;height:48.3pt;width:593.6pt;mso-position-horizontal:center;mso-position-horizontal-relative:margin;mso-position-vertical:center;mso-position-vertical-relative:margin;rotation:-2949120f;z-index:-251656192;mso-width-relative:page;mso-height-relative:page;" fillcolor="#C0C0C0" filled="t" stroked="f" coordsize="21600,21600">
          <v:path/>
          <v:fill on="t" opacity="48496f" focussize="0,0"/>
          <v:stroke on="f"/>
          <v:imagedata o:title=""/>
          <o:lock v:ext="edit" aspectratio="t"/>
          <v:textpath on="t" fitshape="t" fitpath="t" trim="t" xscale="f" string="江苏省储备粮管理集团有限公司" style="font-family:方正黑体_GBK;font-size:48pt;v-text-align:center;"/>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7F495CD"/>
    <w:multiLevelType w:val="singleLevel"/>
    <w:tmpl w:val="37F495CD"/>
    <w:lvl w:ilvl="0" w:tentative="0">
      <w:start w:val="1"/>
      <w:numFmt w:val="chineseCounting"/>
      <w:suff w:val="nothing"/>
      <w:lvlText w:val="%1、"/>
      <w:lvlJc w:val="left"/>
      <w:rPr>
        <w:rFonts w:hint="eastAsia" w:ascii="方正黑体_GBK" w:hAnsi="方正黑体_GBK" w:eastAsia="方正黑体_GBK" w:cs="方正黑体_GBK"/>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3"/>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A1M2M2YTM0NTUyM2JhZmE0ODhkYWM1Y2YzOTJkZGUifQ=="/>
  </w:docVars>
  <w:rsids>
    <w:rsidRoot w:val="71AD454A"/>
    <w:rsid w:val="000B7DA5"/>
    <w:rsid w:val="0016066C"/>
    <w:rsid w:val="003023EB"/>
    <w:rsid w:val="007F2F24"/>
    <w:rsid w:val="00921546"/>
    <w:rsid w:val="00DB6652"/>
    <w:rsid w:val="01CA3F1A"/>
    <w:rsid w:val="01DE54E7"/>
    <w:rsid w:val="04D02DC9"/>
    <w:rsid w:val="0CC872A8"/>
    <w:rsid w:val="0D374B59"/>
    <w:rsid w:val="0EE627B3"/>
    <w:rsid w:val="0FF22FB9"/>
    <w:rsid w:val="10056FF4"/>
    <w:rsid w:val="14FD61B8"/>
    <w:rsid w:val="150834D9"/>
    <w:rsid w:val="151C1A86"/>
    <w:rsid w:val="162D6610"/>
    <w:rsid w:val="190F182C"/>
    <w:rsid w:val="19230693"/>
    <w:rsid w:val="1A5A4A24"/>
    <w:rsid w:val="1B5B594E"/>
    <w:rsid w:val="1BE96A15"/>
    <w:rsid w:val="1DF354F9"/>
    <w:rsid w:val="1F745799"/>
    <w:rsid w:val="21797DFE"/>
    <w:rsid w:val="233E1774"/>
    <w:rsid w:val="235D4796"/>
    <w:rsid w:val="24AC5A60"/>
    <w:rsid w:val="25390F06"/>
    <w:rsid w:val="25E24C21"/>
    <w:rsid w:val="26577C9E"/>
    <w:rsid w:val="266F4A43"/>
    <w:rsid w:val="287F5006"/>
    <w:rsid w:val="2C795659"/>
    <w:rsid w:val="2EBA8253"/>
    <w:rsid w:val="2F396F9D"/>
    <w:rsid w:val="34FB5BBD"/>
    <w:rsid w:val="35037C10"/>
    <w:rsid w:val="377B3A91"/>
    <w:rsid w:val="3AAB444D"/>
    <w:rsid w:val="3E332998"/>
    <w:rsid w:val="3FFFCC23"/>
    <w:rsid w:val="41E47133"/>
    <w:rsid w:val="446E63AB"/>
    <w:rsid w:val="44A0218D"/>
    <w:rsid w:val="4554734F"/>
    <w:rsid w:val="499A3100"/>
    <w:rsid w:val="4A35262C"/>
    <w:rsid w:val="4A857FAB"/>
    <w:rsid w:val="4BF227C7"/>
    <w:rsid w:val="4C3A6B73"/>
    <w:rsid w:val="4DDB2DFD"/>
    <w:rsid w:val="4F7660B5"/>
    <w:rsid w:val="4FE81846"/>
    <w:rsid w:val="507B7A27"/>
    <w:rsid w:val="51750D79"/>
    <w:rsid w:val="52336645"/>
    <w:rsid w:val="54CD1014"/>
    <w:rsid w:val="56851A91"/>
    <w:rsid w:val="581F258D"/>
    <w:rsid w:val="58861E86"/>
    <w:rsid w:val="5CF558BC"/>
    <w:rsid w:val="5FDC558E"/>
    <w:rsid w:val="619F774C"/>
    <w:rsid w:val="63A63622"/>
    <w:rsid w:val="646D0477"/>
    <w:rsid w:val="657F58CB"/>
    <w:rsid w:val="65A90B99"/>
    <w:rsid w:val="6C6B706C"/>
    <w:rsid w:val="6D6F691D"/>
    <w:rsid w:val="6FAB7D47"/>
    <w:rsid w:val="70F51137"/>
    <w:rsid w:val="71AD454A"/>
    <w:rsid w:val="72DF173B"/>
    <w:rsid w:val="72E15E16"/>
    <w:rsid w:val="745B71A3"/>
    <w:rsid w:val="74E8455B"/>
    <w:rsid w:val="76AA3924"/>
    <w:rsid w:val="779E6A61"/>
    <w:rsid w:val="77C632D1"/>
    <w:rsid w:val="78B040D3"/>
    <w:rsid w:val="7C3A6597"/>
    <w:rsid w:val="7CAE3F22"/>
    <w:rsid w:val="7D030039"/>
    <w:rsid w:val="7D605698"/>
    <w:rsid w:val="7D9C5C6B"/>
    <w:rsid w:val="7DFDEB0F"/>
    <w:rsid w:val="7EF70CB6"/>
    <w:rsid w:val="7F2C30F5"/>
    <w:rsid w:val="7FFF2823"/>
    <w:rsid w:val="9DFFDC6D"/>
    <w:rsid w:val="AB9CCF44"/>
    <w:rsid w:val="BB915319"/>
    <w:rsid w:val="BDE773D1"/>
    <w:rsid w:val="BFCF5C9E"/>
    <w:rsid w:val="DF76A35B"/>
    <w:rsid w:val="EFEA88B4"/>
    <w:rsid w:val="EFFFC6AD"/>
    <w:rsid w:val="F4B77BEB"/>
    <w:rsid w:val="FDFF2DD0"/>
    <w:rsid w:val="FE7BAFC5"/>
    <w:rsid w:val="FEF0F739"/>
    <w:rsid w:val="FF7236D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qFormat/>
    <w:uiPriority w:val="0"/>
    <w:pPr>
      <w:jc w:val="left"/>
    </w:p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customStyle="1" w:styleId="7">
    <w:name w:val="Revision"/>
    <w:hidden/>
    <w:unhideWhenUsed/>
    <w:qFormat/>
    <w:uiPriority w:val="99"/>
    <w:rPr>
      <w:rFonts w:ascii="Times New Roman" w:hAnsi="Times New Roman" w:eastAsia="宋体" w:cs="Times New Roman"/>
      <w:kern w:val="2"/>
      <w:sz w:val="21"/>
      <w:szCs w:val="24"/>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3074"/>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7</Pages>
  <Words>2926</Words>
  <Characters>3098</Characters>
  <Lines>71</Lines>
  <Paragraphs>49</Paragraphs>
  <TotalTime>1</TotalTime>
  <ScaleCrop>false</ScaleCrop>
  <LinksUpToDate>false</LinksUpToDate>
  <CharactersWithSpaces>3215</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2024-10-15T20:39:00Z</dcterms:created>
  <dc:creator>无双</dc:creator>
  <cp:lastModifiedBy>kkkitty</cp:lastModifiedBy>
  <dcterms:modified xsi:type="dcterms:W3CDTF">2025-10-17T07:20:52Z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6C3D786B860D431A8D2B95B4DBA2D3E0_13</vt:lpwstr>
  </property>
  <property fmtid="{D5CDD505-2E9C-101B-9397-08002B2CF9AE}" pid="4" name="KSOTemplateDocerSaveRecord">
    <vt:lpwstr>eyJoZGlkIjoiMjE5OThhN2JlN2NhZDcxMTRiNDRkZmVhMGMwN2M5ZjciLCJ1c2VySWQiOiI5ODMwODkwNjcifQ==</vt:lpwstr>
  </property>
</Properties>
</file>