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4D563D">
      <w:pPr>
        <w:jc w:val="center"/>
        <w:rPr>
          <w:rFonts w:hint="eastAsia" w:ascii="宋体" w:hAnsi="宋体" w:cs="宋体"/>
          <w:b/>
          <w:bCs/>
          <w:sz w:val="44"/>
          <w:szCs w:val="44"/>
        </w:rPr>
      </w:pPr>
    </w:p>
    <w:p w14:paraId="004A98D8">
      <w:pPr>
        <w:jc w:val="center"/>
        <w:rPr>
          <w:rFonts w:hint="eastAsia" w:ascii="仿宋" w:hAnsi="仿宋" w:eastAsia="仿宋" w:cs="仿宋"/>
          <w:b/>
          <w:bCs/>
          <w:sz w:val="44"/>
          <w:szCs w:val="44"/>
        </w:rPr>
      </w:pPr>
      <w:r>
        <w:rPr>
          <w:rFonts w:hint="eastAsia" w:ascii="仿宋" w:hAnsi="仿宋" w:eastAsia="仿宋" w:cs="仿宋"/>
          <w:b/>
          <w:bCs/>
          <w:sz w:val="44"/>
          <w:szCs w:val="44"/>
        </w:rPr>
        <w:t>稻谷购销合作合同</w:t>
      </w:r>
    </w:p>
    <w:p w14:paraId="77DBEACD">
      <w:pPr>
        <w:widowControl/>
        <w:spacing w:line="590" w:lineRule="exact"/>
        <w:ind w:firstLine="5440" w:firstLineChars="1700"/>
        <w:jc w:val="left"/>
        <w:rPr>
          <w:rFonts w:hint="eastAsia" w:ascii="方正仿宋_GBK" w:hAnsi="方正仿宋_GBK" w:eastAsia="方正仿宋_GBK" w:cs="方正仿宋_GBK"/>
          <w:color w:val="000000"/>
          <w:kern w:val="0"/>
          <w:sz w:val="32"/>
          <w:szCs w:val="32"/>
          <w:lang w:bidi="ar"/>
        </w:rPr>
      </w:pPr>
      <w:r>
        <w:rPr>
          <w:rFonts w:hint="eastAsia" w:ascii="仿宋" w:hAnsi="仿宋" w:eastAsia="仿宋" w:cs="仿宋"/>
          <w:color w:val="000000"/>
          <w:kern w:val="0"/>
          <w:sz w:val="32"/>
          <w:szCs w:val="32"/>
          <w:lang w:bidi="ar"/>
        </w:rPr>
        <w:t>合同编号</w:t>
      </w:r>
      <w:r>
        <w:rPr>
          <w:rFonts w:hint="eastAsia" w:ascii="方正仿宋_GBK" w:hAnsi="方正仿宋_GBK" w:eastAsia="方正仿宋_GBK" w:cs="方正仿宋_GBK"/>
          <w:color w:val="000000"/>
          <w:kern w:val="0"/>
          <w:sz w:val="32"/>
          <w:szCs w:val="32"/>
          <w:lang w:bidi="ar"/>
        </w:rPr>
        <w:t>：</w:t>
      </w:r>
    </w:p>
    <w:p w14:paraId="3EFA2944">
      <w:pPr>
        <w:widowControl/>
        <w:spacing w:line="590" w:lineRule="exact"/>
        <w:jc w:val="left"/>
        <w:rPr>
          <w:rFonts w:hint="eastAsia" w:ascii="方正仿宋_GBK" w:hAnsi="方正仿宋_GBK" w:eastAsia="方正仿宋_GBK" w:cs="方正仿宋_GBK"/>
          <w:color w:val="000000"/>
          <w:kern w:val="0"/>
          <w:sz w:val="32"/>
          <w:szCs w:val="32"/>
          <w:lang w:bidi="ar"/>
        </w:rPr>
      </w:pPr>
    </w:p>
    <w:p w14:paraId="6BB888D3">
      <w:pPr>
        <w:widowControl/>
        <w:spacing w:line="590" w:lineRule="exact"/>
        <w:jc w:val="left"/>
        <w:rPr>
          <w:rFonts w:hint="eastAsia" w:ascii="仿宋" w:hAnsi="仿宋" w:eastAsia="仿宋" w:cs="仿宋"/>
          <w:sz w:val="32"/>
          <w:szCs w:val="32"/>
          <w:u w:val="single"/>
        </w:rPr>
      </w:pPr>
      <w:r>
        <w:rPr>
          <w:rFonts w:hint="eastAsia" w:ascii="仿宋" w:hAnsi="仿宋" w:eastAsia="仿宋" w:cs="仿宋"/>
          <w:color w:val="000000"/>
          <w:kern w:val="0"/>
          <w:sz w:val="32"/>
          <w:szCs w:val="32"/>
          <w:lang w:bidi="ar"/>
        </w:rPr>
        <w:t>甲方：</w:t>
      </w:r>
      <w:r>
        <w:rPr>
          <w:rFonts w:hint="eastAsia" w:ascii="仿宋" w:hAnsi="仿宋" w:eastAsia="仿宋" w:cs="仿宋"/>
          <w:sz w:val="32"/>
          <w:szCs w:val="32"/>
          <w:u w:val="single"/>
        </w:rPr>
        <w:t>淮安市淮安区储备粮管理有限公司</w:t>
      </w:r>
      <w:r>
        <w:rPr>
          <w:rFonts w:hint="eastAsia" w:ascii="仿宋" w:hAnsi="仿宋" w:eastAsia="仿宋" w:cs="仿宋"/>
          <w:color w:val="000000" w:themeColor="text1"/>
          <w:sz w:val="32"/>
          <w:szCs w:val="32"/>
          <w14:textFill>
            <w14:solidFill>
              <w14:schemeClr w14:val="tx1"/>
            </w14:solidFill>
          </w14:textFill>
        </w:rPr>
        <w:t>（以下简称甲方）</w:t>
      </w:r>
    </w:p>
    <w:p w14:paraId="561822F0">
      <w:pPr>
        <w:widowControl/>
        <w:spacing w:line="590" w:lineRule="exact"/>
        <w:jc w:val="left"/>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乙方：</w:t>
      </w:r>
      <w:r>
        <w:rPr>
          <w:rFonts w:hint="eastAsia" w:ascii="仿宋" w:hAnsi="仿宋" w:eastAsia="仿宋" w:cs="仿宋"/>
          <w:color w:val="000000"/>
          <w:kern w:val="0"/>
          <w:sz w:val="32"/>
          <w:szCs w:val="32"/>
          <w:lang w:val="en-US" w:eastAsia="zh-CN" w:bidi="ar"/>
        </w:rPr>
        <w:t xml:space="preserve">                              </w:t>
      </w:r>
      <w:r>
        <w:rPr>
          <w:rFonts w:hint="eastAsia" w:ascii="仿宋" w:hAnsi="仿宋" w:eastAsia="仿宋" w:cs="仿宋"/>
          <w:color w:val="000000" w:themeColor="text1"/>
          <w:sz w:val="32"/>
          <w:szCs w:val="32"/>
          <w14:textFill>
            <w14:solidFill>
              <w14:schemeClr w14:val="tx1"/>
            </w14:solidFill>
          </w14:textFill>
        </w:rPr>
        <w:t>（以下简称乙方）</w:t>
      </w:r>
      <w:r>
        <w:rPr>
          <w:rFonts w:hint="eastAsia" w:ascii="仿宋" w:hAnsi="仿宋" w:eastAsia="仿宋" w:cs="仿宋"/>
          <w:color w:val="000000"/>
          <w:kern w:val="0"/>
          <w:sz w:val="32"/>
          <w:szCs w:val="32"/>
          <w:lang w:bidi="ar"/>
        </w:rPr>
        <w:t xml:space="preserve"> </w:t>
      </w:r>
    </w:p>
    <w:p w14:paraId="1402B2FC">
      <w:pPr>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为充分发挥各自优势，合理配置粮源，依据江苏粮油商品交易市场（以下简称江苏市场）202</w:t>
      </w:r>
      <w:r>
        <w:rPr>
          <w:rFonts w:hint="eastAsia" w:ascii="仿宋" w:hAnsi="仿宋" w:eastAsia="仿宋" w:cs="仿宋"/>
          <w:sz w:val="32"/>
          <w:szCs w:val="32"/>
          <w:lang w:val="en-US" w:eastAsia="zh-CN"/>
        </w:rPr>
        <w:t>5</w:t>
      </w:r>
      <w:r>
        <w:rPr>
          <w:rFonts w:hint="eastAsia" w:ascii="仿宋" w:hAnsi="仿宋" w:eastAsia="仿宋" w:cs="仿宋"/>
          <w:sz w:val="32"/>
          <w:szCs w:val="32"/>
        </w:rPr>
        <w:t>年</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月</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日竞价结果，就甲方与乙方合作组织收购202</w:t>
      </w:r>
      <w:r>
        <w:rPr>
          <w:rFonts w:hint="eastAsia" w:ascii="仿宋" w:hAnsi="仿宋" w:eastAsia="仿宋" w:cs="仿宋"/>
          <w:sz w:val="32"/>
          <w:szCs w:val="32"/>
          <w:lang w:val="en-US" w:eastAsia="zh-CN"/>
        </w:rPr>
        <w:t>5</w:t>
      </w:r>
      <w:r>
        <w:rPr>
          <w:rFonts w:hint="eastAsia" w:ascii="仿宋" w:hAnsi="仿宋" w:eastAsia="仿宋" w:cs="仿宋"/>
          <w:sz w:val="32"/>
          <w:szCs w:val="32"/>
        </w:rPr>
        <w:t>年产粳稻</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color w:val="000000"/>
          <w:kern w:val="0"/>
          <w:sz w:val="32"/>
          <w:szCs w:val="32"/>
          <w:u w:val="single"/>
          <w:lang w:val="en-US" w:eastAsia="zh-CN" w:bidi="ar"/>
        </w:rPr>
        <w:t xml:space="preserve">  </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sz w:val="32"/>
          <w:szCs w:val="32"/>
        </w:rPr>
        <w:t>吨，同时由乙方根据甲方的出库时间要求负责全部回购，达成以下协议：</w:t>
      </w:r>
    </w:p>
    <w:p w14:paraId="0CFE2DB4">
      <w:pPr>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一、甲方与乙方合作组织收购202</w:t>
      </w:r>
      <w:r>
        <w:rPr>
          <w:rFonts w:hint="eastAsia" w:ascii="仿宋" w:hAnsi="仿宋" w:eastAsia="仿宋" w:cs="仿宋"/>
          <w:sz w:val="32"/>
          <w:szCs w:val="32"/>
          <w:lang w:val="en-US" w:eastAsia="zh-CN"/>
        </w:rPr>
        <w:t>5</w:t>
      </w:r>
      <w:r>
        <w:rPr>
          <w:rFonts w:hint="eastAsia" w:ascii="仿宋" w:hAnsi="仿宋" w:eastAsia="仿宋" w:cs="仿宋"/>
          <w:sz w:val="32"/>
          <w:szCs w:val="32"/>
        </w:rPr>
        <w:t>年产粳稻</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sz w:val="32"/>
          <w:szCs w:val="32"/>
        </w:rPr>
        <w:t>吨</w:t>
      </w:r>
    </w:p>
    <w:p w14:paraId="592A6928">
      <w:pPr>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1.入库时间：在 202</w:t>
      </w:r>
      <w:r>
        <w:rPr>
          <w:rFonts w:hint="eastAsia" w:ascii="仿宋" w:hAnsi="仿宋" w:eastAsia="仿宋" w:cs="仿宋"/>
          <w:sz w:val="32"/>
          <w:szCs w:val="32"/>
          <w:lang w:val="en-US" w:eastAsia="zh-CN"/>
        </w:rPr>
        <w:t>5</w:t>
      </w:r>
      <w:r>
        <w:rPr>
          <w:rFonts w:hint="eastAsia" w:ascii="仿宋" w:hAnsi="仿宋" w:eastAsia="仿宋" w:cs="仿宋"/>
          <w:sz w:val="32"/>
          <w:szCs w:val="32"/>
        </w:rPr>
        <w:t>年12月</w:t>
      </w:r>
      <w:r>
        <w:rPr>
          <w:rFonts w:hint="eastAsia" w:ascii="仿宋" w:hAnsi="仿宋" w:eastAsia="仿宋" w:cs="仿宋"/>
          <w:sz w:val="32"/>
          <w:szCs w:val="32"/>
          <w:lang w:val="en-US" w:eastAsia="zh-CN"/>
        </w:rPr>
        <w:t>2</w:t>
      </w:r>
      <w:r>
        <w:rPr>
          <w:rFonts w:hint="eastAsia" w:ascii="仿宋" w:hAnsi="仿宋" w:eastAsia="仿宋" w:cs="仿宋"/>
          <w:sz w:val="32"/>
          <w:szCs w:val="32"/>
        </w:rPr>
        <w:t>0日前完成入库粮食累计</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color w:val="000000"/>
          <w:kern w:val="0"/>
          <w:sz w:val="32"/>
          <w:szCs w:val="32"/>
          <w:u w:val="single"/>
          <w:lang w:val="en-US" w:eastAsia="zh-CN" w:bidi="ar"/>
        </w:rPr>
        <w:t xml:space="preserve">   </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sz w:val="32"/>
          <w:szCs w:val="32"/>
        </w:rPr>
        <w:t>吨。</w:t>
      </w:r>
    </w:p>
    <w:p w14:paraId="67EFB686">
      <w:pPr>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2.交货地点：</w:t>
      </w:r>
      <w:r>
        <w:rPr>
          <w:rFonts w:hint="eastAsia" w:ascii="Times New Roman" w:hAnsi="Times New Roman" w:eastAsia="仿宋_GB2312" w:cs="Times New Roman"/>
          <w:sz w:val="32"/>
          <w:szCs w:val="32"/>
        </w:rPr>
        <w:t>淮安市</w:t>
      </w:r>
      <w:r>
        <w:rPr>
          <w:rFonts w:hint="eastAsia" w:eastAsia="仿宋_GB2312" w:cs="Times New Roman"/>
          <w:sz w:val="32"/>
          <w:szCs w:val="32"/>
          <w:lang w:val="en-US" w:eastAsia="zh-CN"/>
        </w:rPr>
        <w:t>淮安区储备粮管理</w:t>
      </w:r>
      <w:r>
        <w:rPr>
          <w:rFonts w:hint="eastAsia" w:ascii="Times New Roman" w:hAnsi="Times New Roman" w:eastAsia="仿宋_GB2312" w:cs="Times New Roman"/>
          <w:sz w:val="32"/>
          <w:szCs w:val="32"/>
        </w:rPr>
        <w:t>有限公司</w:t>
      </w:r>
      <w:r>
        <w:rPr>
          <w:rFonts w:hint="eastAsia" w:ascii="仿宋" w:hAnsi="仿宋" w:eastAsia="仿宋" w:cs="仿宋"/>
          <w:sz w:val="32"/>
          <w:szCs w:val="32"/>
        </w:rPr>
        <w:t>。</w:t>
      </w:r>
    </w:p>
    <w:p w14:paraId="2D7F3435">
      <w:pPr>
        <w:tabs>
          <w:tab w:val="left" w:pos="7493"/>
        </w:tabs>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3.入库价格：采购固定价 2760 元/吨。</w:t>
      </w:r>
      <w:r>
        <w:rPr>
          <w:rFonts w:hint="eastAsia" w:ascii="仿宋" w:hAnsi="仿宋" w:eastAsia="仿宋" w:cs="仿宋"/>
          <w:sz w:val="32"/>
          <w:szCs w:val="32"/>
        </w:rPr>
        <w:tab/>
      </w:r>
    </w:p>
    <w:p w14:paraId="65133FE3">
      <w:pPr>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4.入库方式：由乙方组织供货。</w:t>
      </w:r>
    </w:p>
    <w:p w14:paraId="1FCDAFB7">
      <w:pPr>
        <w:spacing w:line="640" w:lineRule="exact"/>
        <w:ind w:firstLine="640" w:firstLineChars="200"/>
        <w:jc w:val="left"/>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仿宋"/>
          <w:sz w:val="32"/>
          <w:szCs w:val="32"/>
        </w:rPr>
        <w:t>5.入库质量要求：</w:t>
      </w:r>
      <w:r>
        <w:rPr>
          <w:rFonts w:hint="eastAsia" w:ascii="仿宋" w:hAnsi="仿宋" w:eastAsia="仿宋" w:cs="宋体"/>
          <w:color w:val="000000" w:themeColor="text1"/>
          <w:sz w:val="32"/>
          <w:szCs w:val="32"/>
          <w14:textFill>
            <w14:solidFill>
              <w14:schemeClr w14:val="tx1"/>
            </w14:solidFill>
          </w14:textFill>
        </w:rPr>
        <w:t>202</w:t>
      </w:r>
      <w:r>
        <w:rPr>
          <w:rFonts w:hint="eastAsia" w:ascii="仿宋" w:hAnsi="仿宋" w:eastAsia="仿宋" w:cs="宋体"/>
          <w:color w:val="000000" w:themeColor="text1"/>
          <w:sz w:val="32"/>
          <w:szCs w:val="32"/>
          <w:lang w:val="en-US" w:eastAsia="zh-CN"/>
          <w14:textFill>
            <w14:solidFill>
              <w14:schemeClr w14:val="tx1"/>
            </w14:solidFill>
          </w14:textFill>
        </w:rPr>
        <w:t>5</w:t>
      </w:r>
      <w:r>
        <w:rPr>
          <w:rFonts w:hint="eastAsia" w:ascii="仿宋" w:hAnsi="仿宋" w:eastAsia="仿宋" w:cs="宋体"/>
          <w:color w:val="000000" w:themeColor="text1"/>
          <w:sz w:val="32"/>
          <w:szCs w:val="32"/>
          <w14:textFill>
            <w14:solidFill>
              <w14:schemeClr w14:val="tx1"/>
            </w14:solidFill>
          </w14:textFill>
        </w:rPr>
        <w:t>年产粳稻谷，等级国标</w:t>
      </w:r>
      <w:r>
        <w:rPr>
          <w:rFonts w:hint="eastAsia" w:ascii="仿宋" w:hAnsi="仿宋" w:eastAsia="仿宋" w:cs="宋体"/>
          <w:color w:val="000000" w:themeColor="text1"/>
          <w:sz w:val="32"/>
          <w:szCs w:val="32"/>
          <w:lang w:eastAsia="zh-CN"/>
          <w14:textFill>
            <w14:solidFill>
              <w14:schemeClr w14:val="tx1"/>
            </w14:solidFill>
          </w14:textFill>
        </w:rPr>
        <w:t>二</w:t>
      </w:r>
      <w:r>
        <w:rPr>
          <w:rFonts w:hint="eastAsia" w:ascii="仿宋" w:hAnsi="仿宋" w:eastAsia="仿宋" w:cs="宋体"/>
          <w:color w:val="000000" w:themeColor="text1"/>
          <w:sz w:val="32"/>
          <w:szCs w:val="32"/>
          <w14:textFill>
            <w14:solidFill>
              <w14:schemeClr w14:val="tx1"/>
            </w14:solidFill>
          </w14:textFill>
        </w:rPr>
        <w:t>等</w:t>
      </w:r>
      <w:r>
        <w:rPr>
          <w:rFonts w:hint="eastAsia" w:ascii="仿宋" w:hAnsi="仿宋" w:eastAsia="仿宋" w:cs="宋体"/>
          <w:color w:val="000000" w:themeColor="text1"/>
          <w:sz w:val="32"/>
          <w:szCs w:val="32"/>
          <w:lang w:val="en-US" w:eastAsia="zh-CN"/>
          <w14:textFill>
            <w14:solidFill>
              <w14:schemeClr w14:val="tx1"/>
            </w14:solidFill>
          </w14:textFill>
        </w:rPr>
        <w:t>及</w:t>
      </w:r>
      <w:r>
        <w:rPr>
          <w:rFonts w:hint="eastAsia" w:ascii="仿宋" w:hAnsi="仿宋" w:eastAsia="仿宋" w:cs="宋体"/>
          <w:color w:val="000000" w:themeColor="text1"/>
          <w:sz w:val="32"/>
          <w:szCs w:val="32"/>
          <w14:textFill>
            <w14:solidFill>
              <w14:schemeClr w14:val="tx1"/>
            </w14:solidFill>
          </w14:textFill>
        </w:rPr>
        <w:t>以上，出糙率≥</w:t>
      </w:r>
      <w:r>
        <w:rPr>
          <w:rFonts w:hint="eastAsia" w:ascii="仿宋" w:hAnsi="仿宋" w:eastAsia="仿宋" w:cs="宋体"/>
          <w:color w:val="000000" w:themeColor="text1"/>
          <w:sz w:val="32"/>
          <w:szCs w:val="32"/>
          <w:lang w:val="en-US" w:eastAsia="zh-CN"/>
          <w14:textFill>
            <w14:solidFill>
              <w14:schemeClr w14:val="tx1"/>
            </w14:solidFill>
          </w14:textFill>
        </w:rPr>
        <w:t>79</w:t>
      </w:r>
      <w:r>
        <w:rPr>
          <w:rFonts w:hint="eastAsia" w:ascii="仿宋" w:hAnsi="仿宋" w:eastAsia="仿宋" w:cs="宋体"/>
          <w:color w:val="000000" w:themeColor="text1"/>
          <w:sz w:val="32"/>
          <w:szCs w:val="32"/>
          <w14:textFill>
            <w14:solidFill>
              <w14:schemeClr w14:val="tx1"/>
            </w14:solidFill>
          </w14:textFill>
        </w:rPr>
        <w:t>%，整精米率≥</w:t>
      </w:r>
      <w:r>
        <w:rPr>
          <w:rFonts w:hint="eastAsia" w:ascii="仿宋" w:hAnsi="仿宋" w:eastAsia="仿宋" w:cs="宋体"/>
          <w:color w:val="000000" w:themeColor="text1"/>
          <w:sz w:val="32"/>
          <w:szCs w:val="32"/>
          <w:lang w:val="en-US" w:eastAsia="zh-CN"/>
          <w14:textFill>
            <w14:solidFill>
              <w14:schemeClr w14:val="tx1"/>
            </w14:solidFill>
          </w14:textFill>
        </w:rPr>
        <w:t>58</w:t>
      </w:r>
      <w:r>
        <w:rPr>
          <w:rFonts w:hint="eastAsia" w:ascii="仿宋" w:hAnsi="仿宋" w:eastAsia="仿宋" w:cs="宋体"/>
          <w:color w:val="000000" w:themeColor="text1"/>
          <w:sz w:val="32"/>
          <w:szCs w:val="32"/>
          <w14:textFill>
            <w14:solidFill>
              <w14:schemeClr w14:val="tx1"/>
            </w14:solidFill>
          </w14:textFill>
        </w:rPr>
        <w:t>%，水分含量≤</w:t>
      </w:r>
      <w:r>
        <w:rPr>
          <w:rFonts w:hint="eastAsia" w:ascii="仿宋" w:hAnsi="仿宋" w:eastAsia="仿宋" w:cs="宋体"/>
          <w:color w:val="000000" w:themeColor="text1"/>
          <w:sz w:val="32"/>
          <w:szCs w:val="32"/>
          <w:lang w:val="en-US" w:eastAsia="zh-CN"/>
          <w14:textFill>
            <w14:solidFill>
              <w14:schemeClr w14:val="tx1"/>
            </w14:solidFill>
          </w14:textFill>
        </w:rPr>
        <w:t>14.5</w:t>
      </w:r>
      <w:r>
        <w:rPr>
          <w:rFonts w:hint="eastAsia" w:ascii="仿宋" w:hAnsi="仿宋" w:eastAsia="仿宋" w:cs="宋体"/>
          <w:color w:val="000000" w:themeColor="text1"/>
          <w:sz w:val="32"/>
          <w:szCs w:val="32"/>
          <w14:textFill>
            <w14:solidFill>
              <w14:schemeClr w14:val="tx1"/>
            </w14:solidFill>
          </w14:textFill>
        </w:rPr>
        <w:t>%，杂质≤1.0%，谷外糙米含量≤2.0%，色泽气味正常，其他质量指标达到国家规定</w:t>
      </w:r>
      <w:r>
        <w:rPr>
          <w:rFonts w:hint="eastAsia" w:ascii="仿宋" w:hAnsi="仿宋" w:eastAsia="仿宋" w:cs="宋体"/>
          <w:color w:val="000000" w:themeColor="text1"/>
          <w:sz w:val="32"/>
          <w:szCs w:val="32"/>
          <w:lang w:eastAsia="zh-CN"/>
          <w14:textFill>
            <w14:solidFill>
              <w14:schemeClr w14:val="tx1"/>
            </w14:solidFill>
          </w14:textFill>
        </w:rPr>
        <w:t>二</w:t>
      </w:r>
      <w:r>
        <w:rPr>
          <w:rFonts w:hint="eastAsia" w:ascii="仿宋" w:hAnsi="仿宋" w:eastAsia="仿宋" w:cs="宋体"/>
          <w:color w:val="000000" w:themeColor="text1"/>
          <w:sz w:val="32"/>
          <w:szCs w:val="32"/>
          <w14:textFill>
            <w14:solidFill>
              <w14:schemeClr w14:val="tx1"/>
            </w14:solidFill>
          </w14:textFill>
        </w:rPr>
        <w:t>等标准</w:t>
      </w:r>
      <w:r>
        <w:rPr>
          <w:rFonts w:hint="eastAsia" w:ascii="仿宋" w:hAnsi="仿宋" w:eastAsia="仿宋" w:cs="宋体"/>
          <w:color w:val="000000" w:themeColor="text1"/>
          <w:sz w:val="32"/>
          <w:szCs w:val="32"/>
          <w:lang w:eastAsia="zh-CN"/>
          <w14:textFill>
            <w14:solidFill>
              <w14:schemeClr w14:val="tx1"/>
            </w14:solidFill>
          </w14:textFill>
        </w:rPr>
        <w:t>及</w:t>
      </w:r>
      <w:r>
        <w:rPr>
          <w:rFonts w:hint="eastAsia" w:ascii="仿宋" w:hAnsi="仿宋" w:eastAsia="仿宋" w:cs="宋体"/>
          <w:color w:val="000000" w:themeColor="text1"/>
          <w:sz w:val="32"/>
          <w:szCs w:val="32"/>
          <w14:textFill>
            <w14:solidFill>
              <w14:schemeClr w14:val="tx1"/>
            </w14:solidFill>
          </w14:textFill>
        </w:rPr>
        <w:t>以上。品质指标宜存，黄曲霉毒素B1＜10ug/kg，铅含量＜0.2mg/kg，镉含量＜0.2mg/kg，其他食品安全卫生指标符合国家食品卫生指标标准，无黄粒米。扣量办法：</w:t>
      </w:r>
      <w:r>
        <w:rPr>
          <w:rFonts w:hint="eastAsia" w:ascii="仿宋" w:hAnsi="仿宋" w:eastAsia="仿宋" w:cs="宋体"/>
          <w:color w:val="000000" w:themeColor="text1"/>
          <w:sz w:val="32"/>
          <w:szCs w:val="32"/>
          <w:lang w:eastAsia="zh-CN"/>
          <w14:textFill>
            <w14:solidFill>
              <w14:schemeClr w14:val="tx1"/>
            </w14:solidFill>
          </w14:textFill>
        </w:rPr>
        <w:t>按国家粮食增扣量标准执行</w:t>
      </w:r>
      <w:r>
        <w:rPr>
          <w:rFonts w:hint="eastAsia" w:ascii="仿宋" w:hAnsi="仿宋" w:eastAsia="仿宋" w:cs="宋体"/>
          <w:color w:val="000000" w:themeColor="text1"/>
          <w:sz w:val="32"/>
          <w:szCs w:val="32"/>
          <w14:textFill>
            <w14:solidFill>
              <w14:schemeClr w14:val="tx1"/>
            </w14:solidFill>
          </w14:textFill>
        </w:rPr>
        <w:t>，筛下物随车除皮带回，不符合质量指标的甲方有权拒收。</w:t>
      </w:r>
    </w:p>
    <w:p w14:paraId="3C4DFFD7">
      <w:pPr>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6.验收办法：</w:t>
      </w:r>
    </w:p>
    <w:p w14:paraId="37F86E15">
      <w:pPr>
        <w:spacing w:line="560" w:lineRule="exact"/>
        <w:ind w:right="60" w:firstLine="640" w:firstLineChars="200"/>
        <w:rPr>
          <w:rFonts w:hint="eastAsia" w:ascii="仿宋" w:hAnsi="仿宋" w:eastAsia="仿宋" w:cs="仿宋"/>
          <w:sz w:val="32"/>
          <w:szCs w:val="32"/>
          <w:highlight w:val="yellow"/>
        </w:rPr>
      </w:pPr>
      <w:r>
        <w:rPr>
          <w:rFonts w:hint="eastAsia" w:ascii="仿宋" w:hAnsi="仿宋" w:eastAsia="仿宋" w:cs="仿宋"/>
          <w:sz w:val="32"/>
          <w:szCs w:val="32"/>
        </w:rPr>
        <w:t>（1）质量确认：入库时双方在交货地验质，如对检验方法、标准或质量结果有异议，可委托具有检验资质的粮食质量检验机构检验，检验费用由异议提出方先行支付，异议成立的，最终由被异议方承担。</w:t>
      </w:r>
    </w:p>
    <w:p w14:paraId="04B027DD">
      <w:pPr>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（2）数量确认：以交货库点地磅称重为准，乙方应当派人监磅，并对数量进行确认。</w:t>
      </w:r>
    </w:p>
    <w:p w14:paraId="36F30A83">
      <w:pPr>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（3）乙方如有数量、质量异议应在入库卸货前提出，逾期未提异议的视为交付合格。</w:t>
      </w:r>
    </w:p>
    <w:p w14:paraId="125DEA13">
      <w:pPr>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（4）粮食入库后，甲、乙双方须对入库粮食的存储仓号、数量、质量、价格等进行书面确认。</w:t>
      </w:r>
    </w:p>
    <w:p w14:paraId="3829C541">
      <w:pPr>
        <w:spacing w:line="560" w:lineRule="exact"/>
        <w:ind w:firstLine="560"/>
        <w:jc w:val="left"/>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二、双方商定乙方回购事项</w:t>
      </w:r>
    </w:p>
    <w:p w14:paraId="4B2557B9">
      <w:pPr>
        <w:widowControl/>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1. 本次购销合作双向交易中，约定销售事项为乙方回购，乙方回购的粮食为本次采购的在未来时点轮出的粮食，回购粮食时间以甲方通知出库时间为准。具体回购时间为： 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年 </w:t>
      </w:r>
      <w:r>
        <w:rPr>
          <w:rFonts w:hint="eastAsia" w:ascii="仿宋" w:hAnsi="仿宋" w:eastAsia="仿宋" w:cs="仿宋"/>
          <w:sz w:val="32"/>
          <w:szCs w:val="32"/>
          <w:lang w:val="en-US" w:eastAsia="zh-CN"/>
        </w:rPr>
        <w:t>7</w:t>
      </w:r>
      <w:r>
        <w:rPr>
          <w:rFonts w:hint="eastAsia" w:ascii="仿宋" w:hAnsi="仿宋" w:eastAsia="仿宋" w:cs="仿宋"/>
          <w:sz w:val="32"/>
          <w:szCs w:val="32"/>
        </w:rPr>
        <w:t xml:space="preserve">至 </w:t>
      </w:r>
      <w:r>
        <w:rPr>
          <w:rFonts w:hint="eastAsia" w:ascii="仿宋" w:hAnsi="仿宋" w:eastAsia="仿宋" w:cs="仿宋"/>
          <w:sz w:val="32"/>
          <w:szCs w:val="32"/>
          <w:lang w:val="en-US" w:eastAsia="zh-CN"/>
        </w:rPr>
        <w:t>9</w:t>
      </w:r>
      <w:r>
        <w:rPr>
          <w:rFonts w:hint="eastAsia" w:ascii="仿宋" w:hAnsi="仿宋" w:eastAsia="仿宋" w:cs="仿宋"/>
          <w:sz w:val="32"/>
          <w:szCs w:val="32"/>
        </w:rPr>
        <w:t xml:space="preserve"> 月轮出</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sz w:val="32"/>
          <w:szCs w:val="32"/>
        </w:rPr>
        <w:t>吨</w:t>
      </w:r>
      <w:r>
        <w:rPr>
          <w:rFonts w:hint="eastAsia" w:ascii="仿宋" w:hAnsi="仿宋" w:eastAsia="仿宋" w:cs="仿宋"/>
          <w:sz w:val="30"/>
          <w:szCs w:val="30"/>
        </w:rPr>
        <w:t>（</w:t>
      </w:r>
      <w:r>
        <w:rPr>
          <w:rFonts w:hint="eastAsia" w:ascii="仿宋" w:hAnsi="仿宋" w:eastAsia="仿宋" w:cs="宋体"/>
          <w:color w:val="000000" w:themeColor="text1"/>
          <w:sz w:val="32"/>
          <w:szCs w:val="32"/>
          <w14:textFill>
            <w14:solidFill>
              <w14:schemeClr w14:val="tx1"/>
            </w14:solidFill>
          </w14:textFill>
        </w:rPr>
        <w:t>待甲方报上级储备粮管理机构批准后实施，</w:t>
      </w:r>
      <w:r>
        <w:rPr>
          <w:rFonts w:hint="eastAsia" w:ascii="仿宋" w:hAnsi="仿宋" w:eastAsia="仿宋" w:cs="仿宋"/>
          <w:sz w:val="32"/>
          <w:szCs w:val="32"/>
        </w:rPr>
        <w:t>如合同中的储备粮被政府调用，本次购销合作双向交易中的销售合同终止履行，乙方不得强求甲方履行合同或要求甲方承担违约责任，乙方的权益按照五、3条款中内容补偿。）</w:t>
      </w:r>
    </w:p>
    <w:p w14:paraId="0FDB5D98">
      <w:pPr>
        <w:spacing w:line="6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2.根据竞价交易结果，在设定采购固定价2760 元/吨基础上的回购价格及价差，即仓库车板价：</w:t>
      </w:r>
      <w:r>
        <w:rPr>
          <w:rFonts w:hint="eastAsia" w:ascii="仿宋" w:hAnsi="仿宋" w:eastAsia="仿宋" w:cs="仿宋"/>
          <w:color w:val="000000" w:themeColor="text1"/>
          <w:sz w:val="32"/>
          <w:szCs w:val="32"/>
          <w:u w:val="single"/>
          <w14:textFill>
            <w14:solidFill>
              <w14:schemeClr w14:val="tx1"/>
            </w14:solidFill>
          </w14:textFill>
        </w:rPr>
        <w:t>_______</w:t>
      </w:r>
      <w:r>
        <w:rPr>
          <w:rFonts w:hint="eastAsia" w:ascii="仿宋" w:hAnsi="仿宋" w:eastAsia="仿宋" w:cs="仿宋"/>
          <w:sz w:val="32"/>
          <w:szCs w:val="32"/>
        </w:rPr>
        <w:t>元/吨（202</w:t>
      </w:r>
      <w:r>
        <w:rPr>
          <w:rFonts w:hint="eastAsia" w:ascii="仿宋" w:hAnsi="仿宋" w:eastAsia="仿宋" w:cs="仿宋"/>
          <w:sz w:val="32"/>
          <w:szCs w:val="32"/>
          <w:lang w:val="en-US" w:eastAsia="zh-CN"/>
        </w:rPr>
        <w:t>6</w:t>
      </w:r>
      <w:bookmarkStart w:id="0" w:name="_GoBack"/>
      <w:bookmarkEnd w:id="0"/>
      <w:r>
        <w:rPr>
          <w:rFonts w:hint="eastAsia" w:ascii="仿宋" w:hAnsi="仿宋" w:eastAsia="仿宋" w:cs="仿宋"/>
          <w:sz w:val="32"/>
          <w:szCs w:val="32"/>
        </w:rPr>
        <w:t>年出库，本处价格由竞价交易产生）。</w:t>
      </w:r>
    </w:p>
    <w:p w14:paraId="594CD8D7">
      <w:pPr>
        <w:widowControl/>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3.回购粮食数量以入库数量为准，以单个仓房为单位，双方按照保管账面数结算，合理损耗（通风降水、出库、保管等环节部分）由乙方承担。</w:t>
      </w:r>
    </w:p>
    <w:p w14:paraId="28706AEF">
      <w:pPr>
        <w:widowControl/>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4.回购粮食质量以在库粮食质量为准，甲方提供符合相关规定的检验报告。</w:t>
      </w:r>
    </w:p>
    <w:p w14:paraId="79A1FFFC">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三、合同定金及保证金的支付与退还</w:t>
      </w:r>
    </w:p>
    <w:p w14:paraId="54ADE923">
      <w:pPr>
        <w:widowControl/>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1.乙方除向江苏市场等第三方缴纳规定的交易保证金外，需向甲方另交纳合同定金100元/吨，定金交付后，交易系统内的购、销双向交易合同正式生效，该项定金适用于双倍罚则。</w:t>
      </w:r>
    </w:p>
    <w:p w14:paraId="1AE4D286">
      <w:pPr>
        <w:widowControl/>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乙方需按货款金额的10％向甲方缴纳风险保证金，甲方根据收购入库进度分批次收取风险保证金，合同定金可转为风险保证金。风险保证金不计利息，在乙方回购阶段以单仓为单位最后一批粮食出库后退回至乙方。如稻谷市场价低于最低收购价，乙方需按甲方通知时间截止期内，及时补足保证金，否则视为乙方违约。</w:t>
      </w:r>
    </w:p>
    <w:p w14:paraId="1D11C742">
      <w:pPr>
        <w:widowControl/>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3.采购合同项下，买卖双方自主交割，甲方在规定的合同入库期限（ 202</w:t>
      </w:r>
      <w:r>
        <w:rPr>
          <w:rFonts w:hint="eastAsia" w:ascii="仿宋" w:hAnsi="仿宋" w:eastAsia="仿宋" w:cs="仿宋"/>
          <w:sz w:val="32"/>
          <w:szCs w:val="32"/>
          <w:lang w:val="en-US" w:eastAsia="zh-CN"/>
        </w:rPr>
        <w:t>5</w:t>
      </w:r>
      <w:r>
        <w:rPr>
          <w:rFonts w:hint="eastAsia" w:ascii="仿宋" w:hAnsi="仿宋" w:eastAsia="仿宋" w:cs="仿宋"/>
          <w:sz w:val="32"/>
          <w:szCs w:val="32"/>
        </w:rPr>
        <w:t xml:space="preserve"> 年12月</w:t>
      </w:r>
      <w:r>
        <w:rPr>
          <w:rFonts w:hint="eastAsia" w:ascii="仿宋" w:hAnsi="仿宋" w:eastAsia="仿宋" w:cs="仿宋"/>
          <w:sz w:val="32"/>
          <w:szCs w:val="32"/>
          <w:lang w:val="en-US" w:eastAsia="zh-CN"/>
        </w:rPr>
        <w:t>2</w:t>
      </w:r>
      <w:r>
        <w:rPr>
          <w:rFonts w:hint="eastAsia" w:ascii="仿宋" w:hAnsi="仿宋" w:eastAsia="仿宋" w:cs="仿宋"/>
          <w:sz w:val="32"/>
          <w:szCs w:val="32"/>
        </w:rPr>
        <w:t>0日前）内按到货进度付款，采购合同交割期截止日以清单为准，采购合同完成率必须达到100%（允许误差以甲方与乙方签订的数量质量价格确认单为准），乙方需提供相应增值税发票或提供相应的有效收购证明后方可确认交易完成。双方交收完毕后江苏市场凭双方签订的采购确认单等有效文件清退定金。</w:t>
      </w:r>
    </w:p>
    <w:p w14:paraId="2CAE4C60">
      <w:pPr>
        <w:widowControl/>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4.销售合同项下，在合同交割期内，乙方需将货款汇至江苏市场账户（与保证金账户一致）并在系统申请开具出库通知单，凭市场出库单及身份证明到甲方提货。销售粮食交收完毕，甲乙双方在系统签订“验收确认单”后，江苏市场退还乙方扣除手续费部分的保证金（与中标结果数量、价格差异部分由甲方与乙方按实结算）。</w:t>
      </w:r>
    </w:p>
    <w:p w14:paraId="0D665CD7">
      <w:pPr>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w:t>
      </w:r>
      <w:r>
        <w:rPr>
          <w:rFonts w:hint="eastAsia" w:ascii="仿宋" w:hAnsi="仿宋" w:eastAsia="仿宋" w:cs="仿宋"/>
          <w:color w:val="000000"/>
          <w:sz w:val="32"/>
          <w:szCs w:val="32"/>
        </w:rPr>
        <w:t>费用结算和发票开具</w:t>
      </w:r>
    </w:p>
    <w:p w14:paraId="5CC23DAD">
      <w:pPr>
        <w:spacing w:line="560" w:lineRule="exact"/>
        <w:ind w:firstLine="640" w:firstLineChars="200"/>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sz w:val="32"/>
          <w:szCs w:val="32"/>
        </w:rPr>
        <w:t>1.入库结算：甲方根据收购进度支付给乙方收购款，</w:t>
      </w:r>
      <w:r>
        <w:rPr>
          <w:rFonts w:hint="eastAsia" w:ascii="仿宋" w:hAnsi="仿宋" w:eastAsia="仿宋" w:cs="仿宋"/>
          <w:color w:val="000000" w:themeColor="text1"/>
          <w:sz w:val="32"/>
          <w:szCs w:val="32"/>
          <w14:textFill>
            <w14:solidFill>
              <w14:schemeClr w14:val="tx1"/>
            </w14:solidFill>
          </w14:textFill>
        </w:rPr>
        <w:t>乙方根据实际入库数量按月向甲方开具相应的增值税发票。</w:t>
      </w:r>
    </w:p>
    <w:p w14:paraId="777D665A">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2.销售结算：乙方根据甲方通知，先款后货，凭借出库通知单提货，根据收款单位，由甲方向乙方开具相应的增值税发票。</w:t>
      </w:r>
    </w:p>
    <w:p w14:paraId="73F6EEE9">
      <w:pPr>
        <w:spacing w:line="560" w:lineRule="exact"/>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3.</w:t>
      </w:r>
      <w:r>
        <w:rPr>
          <w:rFonts w:hint="eastAsia" w:ascii="仿宋" w:hAnsi="仿宋" w:eastAsia="仿宋" w:cs="仿宋"/>
          <w:sz w:val="32"/>
          <w:szCs w:val="32"/>
        </w:rPr>
        <w:t>进出库费用：乙方组织进库时仓库散装车板前费用由乙方承担；出库时仓库散装车板后费用由乙方承担。</w:t>
      </w:r>
    </w:p>
    <w:p w14:paraId="4D69603C">
      <w:pPr>
        <w:tabs>
          <w:tab w:val="left" w:pos="1305"/>
        </w:tabs>
        <w:adjustRightInd w:val="0"/>
        <w:snapToGrid w:val="0"/>
        <w:spacing w:line="560" w:lineRule="exact"/>
        <w:ind w:firstLine="640" w:firstLineChars="200"/>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sz w:val="32"/>
          <w:szCs w:val="32"/>
        </w:rPr>
        <w:t>五、其他</w:t>
      </w:r>
      <w:r>
        <w:rPr>
          <w:rFonts w:hint="eastAsia" w:ascii="仿宋" w:hAnsi="仿宋" w:eastAsia="仿宋" w:cs="仿宋"/>
          <w:color w:val="000000" w:themeColor="text1"/>
          <w:sz w:val="32"/>
          <w:szCs w:val="32"/>
          <w14:textFill>
            <w14:solidFill>
              <w14:schemeClr w14:val="tx1"/>
            </w14:solidFill>
          </w14:textFill>
        </w:rPr>
        <w:t>条款：</w:t>
      </w:r>
    </w:p>
    <w:p w14:paraId="01DCE9CD">
      <w:pPr>
        <w:tabs>
          <w:tab w:val="left" w:pos="1305"/>
        </w:tabs>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乙方通过竞价交易的方式获得购销合作的权利，乙方按照甲方委托公告的要求参加竞价交易。本次购销双向交易采取以采竞销的交易方式。一次交易实现同一数量的地方储备粮（油）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32C658B0">
      <w:pPr>
        <w:tabs>
          <w:tab w:val="left" w:pos="1305"/>
        </w:tabs>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2.竞价成功获得合作购销权利后，乙方需与甲方签订本合同，原则上一周内不签订本合同，认定为乙方竞价中标后违约。 </w:t>
      </w:r>
    </w:p>
    <w:p w14:paraId="4D53D793">
      <w:pPr>
        <w:spacing w:line="560" w:lineRule="exact"/>
        <w:rPr>
          <w:rFonts w:hint="eastAsia" w:ascii="仿宋" w:hAnsi="仿宋" w:eastAsia="仿宋" w:cs="仿宋"/>
          <w:color w:val="000000"/>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3.</w:t>
      </w:r>
      <w:r>
        <w:rPr>
          <w:rFonts w:hint="eastAsia" w:ascii="仿宋" w:hAnsi="仿宋" w:eastAsia="仿宋" w:cs="仿宋"/>
          <w:color w:val="000000"/>
          <w:sz w:val="32"/>
          <w:szCs w:val="32"/>
        </w:rPr>
        <w:t>如遇政策调控，甲乙双方应无条件服从政府调控需要，互不承担违约责任。甲方按上级制定的调拨价格扣除相关税费后全额与乙方进行结算。</w:t>
      </w:r>
    </w:p>
    <w:p w14:paraId="35FEC2DA">
      <w:pPr>
        <w:spacing w:line="560" w:lineRule="exac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4.</w:t>
      </w:r>
      <w:r>
        <w:rPr>
          <w:rFonts w:hint="eastAsia" w:ascii="仿宋" w:hAnsi="仿宋" w:eastAsia="仿宋" w:cs="仿宋"/>
          <w:sz w:val="32"/>
          <w:szCs w:val="32"/>
        </w:rPr>
        <w:t>粮食入库后由甲方保管，并确保保管期间的入库粮食数量真实、质量良好。储存期间需符合地方储备粮管理规定，入库完毕后双方共同确认数量和质量。</w:t>
      </w:r>
    </w:p>
    <w:p w14:paraId="6FA8E8C7">
      <w:pPr>
        <w:tabs>
          <w:tab w:val="left" w:pos="690"/>
        </w:tabs>
        <w:spacing w:line="560" w:lineRule="exact"/>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5.</w:t>
      </w:r>
      <w:r>
        <w:rPr>
          <w:rFonts w:hint="eastAsia" w:ascii="仿宋" w:hAnsi="仿宋" w:eastAsia="仿宋" w:cs="仿宋"/>
          <w:sz w:val="32"/>
          <w:szCs w:val="32"/>
        </w:rPr>
        <w:t>该批粮食的实际水杂减量和保管损耗由乙方承担。提货时甲方每开一个仓，乙方必须在30日历日内提完，避免动仓后粮食质量下降。因乙方未按要求及时提货造成的粮食质量等损失均由乙方负全责。</w:t>
      </w:r>
    </w:p>
    <w:p w14:paraId="48C2E2F7">
      <w:pPr>
        <w:tabs>
          <w:tab w:val="left" w:pos="690"/>
        </w:tabs>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6.涉及储备粮业务的各项补贴与乙方无关。</w:t>
      </w:r>
    </w:p>
    <w:p w14:paraId="4115DE14">
      <w:pPr>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六、违约责任</w:t>
      </w:r>
    </w:p>
    <w:p w14:paraId="5A2B2624">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1.乙方不能按合同时间、数量和质量送达，影响甲方储备入库计划，按违约处理，乙方保证金归甲方所有，合同终止。</w:t>
      </w:r>
    </w:p>
    <w:p w14:paraId="071053CC">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如乙方逾期未提清约定数量，则视作乙方违约，乙方需支付给甲方总货款20%的违约金，未提数量甲方不再销售给乙方，而由甲方另行销售，货款用于偿还甲方前期购粮款及因乙方违约造成的损失，不足部分甲方保留向乙方追讨补足价差的权利。</w:t>
      </w:r>
    </w:p>
    <w:p w14:paraId="4D0B852F">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七、合同履约结束后，双方无任何经济纠纷，甲方应及时退还乙方尚未冲抵的风险保证金。</w:t>
      </w:r>
    </w:p>
    <w:p w14:paraId="79A37243">
      <w:pPr>
        <w:tabs>
          <w:tab w:val="left" w:pos="690"/>
        </w:tabs>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八、解决纠纷的方式：协商解决或按《民法典》通过法律程序解决。出现合同纠纷和未尽事宜，双方可协商，签订补充协议，补充协议与本协议具有同等法律效力，不能协商一致，可向原告所在地人民法院起诉。</w:t>
      </w:r>
    </w:p>
    <w:p w14:paraId="38491763">
      <w:pPr>
        <w:tabs>
          <w:tab w:val="left" w:pos="690"/>
        </w:tabs>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九、本合同一式叁份，本合同双方签字盖章后成立，乙方按第三条约定将</w:t>
      </w:r>
      <w:r>
        <w:rPr>
          <w:rFonts w:hint="eastAsia" w:ascii="仿宋" w:hAnsi="仿宋" w:eastAsia="仿宋" w:cs="仿宋"/>
          <w:color w:val="000000" w:themeColor="text1"/>
          <w:sz w:val="32"/>
          <w:szCs w:val="32"/>
          <w14:textFill>
            <w14:solidFill>
              <w14:schemeClr w14:val="tx1"/>
            </w14:solidFill>
          </w14:textFill>
        </w:rPr>
        <w:t>风险保证金付至甲方账户后生效</w:t>
      </w:r>
      <w:r>
        <w:rPr>
          <w:rFonts w:hint="eastAsia" w:ascii="仿宋" w:hAnsi="仿宋" w:eastAsia="仿宋" w:cs="仿宋"/>
          <w:sz w:val="32"/>
          <w:szCs w:val="32"/>
        </w:rPr>
        <w:t>，本合同有效期至出库结束止，本合同相关传真件视同原件，传真件与原件不符的，以原件为准。</w:t>
      </w:r>
    </w:p>
    <w:p w14:paraId="1BC21764">
      <w:pPr>
        <w:tabs>
          <w:tab w:val="left" w:pos="690"/>
        </w:tabs>
        <w:spacing w:line="560" w:lineRule="exact"/>
        <w:rPr>
          <w:rFonts w:hint="eastAsia" w:ascii="仿宋" w:hAnsi="仿宋" w:eastAsia="仿宋" w:cs="仿宋"/>
          <w:sz w:val="32"/>
          <w:szCs w:val="32"/>
        </w:rPr>
      </w:pPr>
      <w:r>
        <w:rPr>
          <w:rFonts w:hint="eastAsia" w:ascii="仿宋" w:hAnsi="仿宋" w:eastAsia="仿宋" w:cs="仿宋"/>
          <w:sz w:val="32"/>
          <w:szCs w:val="32"/>
        </w:rPr>
        <w:t>（以下无正文）</w:t>
      </w:r>
    </w:p>
    <w:p w14:paraId="17C16CA0">
      <w:pPr>
        <w:spacing w:line="560" w:lineRule="exact"/>
        <w:rPr>
          <w:rFonts w:hint="eastAsia" w:ascii="仿宋" w:hAnsi="仿宋" w:eastAsia="仿宋" w:cs="仿宋"/>
          <w:sz w:val="32"/>
          <w:szCs w:val="32"/>
        </w:rPr>
      </w:pPr>
    </w:p>
    <w:p w14:paraId="41C61300">
      <w:pPr>
        <w:spacing w:line="408" w:lineRule="auto"/>
        <w:rPr>
          <w:rFonts w:hint="eastAsia" w:ascii="仿宋" w:hAnsi="仿宋" w:eastAsia="仿宋" w:cs="仿宋"/>
          <w:sz w:val="32"/>
          <w:szCs w:val="32"/>
        </w:rPr>
      </w:pPr>
      <w:r>
        <w:rPr>
          <w:rFonts w:hint="eastAsia" w:ascii="仿宋" w:hAnsi="仿宋" w:eastAsia="仿宋" w:cs="仿宋"/>
          <w:sz w:val="32"/>
          <w:szCs w:val="32"/>
        </w:rPr>
        <w:t>甲  方：                        乙  方：</w:t>
      </w:r>
    </w:p>
    <w:p w14:paraId="08DEC7FE">
      <w:pPr>
        <w:spacing w:line="408" w:lineRule="auto"/>
        <w:ind w:firstLine="1920" w:firstLineChars="600"/>
        <w:rPr>
          <w:rFonts w:hint="eastAsia" w:ascii="仿宋" w:hAnsi="仿宋" w:eastAsia="仿宋" w:cs="仿宋"/>
          <w:sz w:val="32"/>
          <w:szCs w:val="32"/>
        </w:rPr>
      </w:pPr>
      <w:r>
        <w:rPr>
          <w:rFonts w:hint="eastAsia" w:ascii="仿宋" w:hAnsi="仿宋" w:eastAsia="仿宋" w:cs="仿宋"/>
          <w:sz w:val="32"/>
          <w:szCs w:val="32"/>
        </w:rPr>
        <w:t xml:space="preserve">                       </w:t>
      </w:r>
    </w:p>
    <w:p w14:paraId="14996B6F">
      <w:pPr>
        <w:widowControl/>
        <w:spacing w:line="590" w:lineRule="exact"/>
        <w:jc w:val="left"/>
        <w:rPr>
          <w:rFonts w:hint="eastAsia" w:ascii="仿宋" w:hAnsi="仿宋" w:eastAsia="仿宋" w:cs="仿宋"/>
          <w:sz w:val="32"/>
          <w:szCs w:val="32"/>
        </w:rPr>
      </w:pPr>
      <w:r>
        <w:rPr>
          <w:rFonts w:hint="eastAsia" w:ascii="仿宋" w:hAnsi="仿宋" w:eastAsia="仿宋" w:cs="仿宋"/>
          <w:sz w:val="32"/>
          <w:szCs w:val="32"/>
        </w:rPr>
        <w:t>日    期：                      日    期：</w:t>
      </w:r>
    </w:p>
    <w:p w14:paraId="4AAABE22">
      <w:pPr>
        <w:widowControl/>
        <w:spacing w:line="590" w:lineRule="exact"/>
        <w:jc w:val="left"/>
        <w:rPr>
          <w:rFonts w:hint="eastAsia" w:ascii="仿宋" w:hAnsi="仿宋" w:eastAsia="仿宋" w:cs="仿宋"/>
          <w:sz w:val="32"/>
          <w:szCs w:val="32"/>
        </w:rPr>
      </w:pPr>
    </w:p>
    <w:p w14:paraId="787E7A17">
      <w:pPr>
        <w:rPr>
          <w:rFonts w:hint="eastAsia" w:ascii="仿宋" w:hAnsi="仿宋" w:eastAsia="仿宋" w:cs="仿宋"/>
          <w:b/>
          <w:bCs/>
          <w:sz w:val="44"/>
          <w:szCs w:val="4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7103A6"/>
    <w:rsid w:val="00252DC2"/>
    <w:rsid w:val="002B05D8"/>
    <w:rsid w:val="00B07DB7"/>
    <w:rsid w:val="00E044AA"/>
    <w:rsid w:val="00E77A11"/>
    <w:rsid w:val="10305890"/>
    <w:rsid w:val="16777D74"/>
    <w:rsid w:val="190505E7"/>
    <w:rsid w:val="19B82A0F"/>
    <w:rsid w:val="21EA1DCF"/>
    <w:rsid w:val="29043FB1"/>
    <w:rsid w:val="33A14F6D"/>
    <w:rsid w:val="3C1B5B49"/>
    <w:rsid w:val="434C41B3"/>
    <w:rsid w:val="495C1951"/>
    <w:rsid w:val="50321D3E"/>
    <w:rsid w:val="53400927"/>
    <w:rsid w:val="537103A6"/>
    <w:rsid w:val="548C53FC"/>
    <w:rsid w:val="54A6363F"/>
    <w:rsid w:val="57667DA8"/>
    <w:rsid w:val="664A5A34"/>
    <w:rsid w:val="66C11B4E"/>
    <w:rsid w:val="6B8D6867"/>
    <w:rsid w:val="700E7CBA"/>
    <w:rsid w:val="7D39428C"/>
    <w:rsid w:val="7DB20350"/>
    <w:rsid w:val="7EB776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unhideWhenUsed/>
    <w:qFormat/>
    <w:uiPriority w:val="99"/>
    <w:pPr>
      <w:spacing w:after="120" w:line="480" w:lineRule="auto"/>
      <w:ind w:left="420" w:leftChars="200"/>
    </w:pPr>
    <w:rPr>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2596</Words>
  <Characters>2705</Characters>
  <Lines>22</Lines>
  <Paragraphs>6</Paragraphs>
  <TotalTime>6</TotalTime>
  <ScaleCrop>false</ScaleCrop>
  <LinksUpToDate>false</LinksUpToDate>
  <CharactersWithSpaces>2868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2024-10-29T02:00:00Z</dcterms:created>
  <dc:creator>Administrator</dc:creator>
  <cp:lastModifiedBy>WPS_1178352858</cp:lastModifiedBy>
  <dcterms:modified xsi:type="dcterms:W3CDTF">2025-10-20T02:35:45Z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0A225A8DCB73494794AEC6FF068D2400_11</vt:lpwstr>
  </property>
  <property fmtid="{D5CDD505-2E9C-101B-9397-08002B2CF9AE}" pid="4" name="KSOTemplateDocerSaveRecord">
    <vt:lpwstr>eyJoZGlkIjoiODNkODlmMjRhYzgwYzNmMGE4OGI5Y2RkNzdhNzUwMzkiLCJ1c2VySWQiOiIxMTc4MzUyODU4In0=</vt:lpwstr>
  </property>
</Properties>
</file>