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CD158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小麦购销合作合同</w:t>
      </w:r>
    </w:p>
    <w:p w14:paraId="4B29031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编号</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DLCB</w:t>
      </w:r>
    </w:p>
    <w:p w14:paraId="3F3FC060">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u w:val="single"/>
          <w:lang w:eastAsia="zh-CN"/>
        </w:rPr>
        <w:t>东台市储备粮管理有限公司</w:t>
      </w:r>
      <w:r>
        <w:rPr>
          <w:rFonts w:hint="eastAsia"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以下简称甲方</w:t>
      </w:r>
      <w:r>
        <w:rPr>
          <w:rFonts w:hint="eastAsia" w:ascii="Times New Roman" w:hAnsi="Times New Roman" w:eastAsia="方正仿宋_GBK" w:cs="Times New Roman"/>
          <w:sz w:val="34"/>
          <w:szCs w:val="34"/>
          <w:lang w:eastAsia="zh-CN"/>
        </w:rPr>
        <w:t>）</w:t>
      </w:r>
    </w:p>
    <w:p w14:paraId="5C5F15FE">
      <w:pPr>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single"/>
          <w:lang w:val="en-US" w:eastAsia="zh-CN"/>
        </w:rPr>
        <w:t xml:space="preserve">                            </w:t>
      </w:r>
      <w:bookmarkStart w:id="0" w:name="_GoBack"/>
      <w:bookmarkEnd w:id="0"/>
      <w:r>
        <w:rPr>
          <w:rFonts w:hint="eastAsia"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以下简称乙方</w:t>
      </w:r>
      <w:r>
        <w:rPr>
          <w:rFonts w:hint="eastAsia" w:ascii="Times New Roman" w:hAnsi="Times New Roman" w:eastAsia="方正仿宋_GBK" w:cs="Times New Roman"/>
          <w:sz w:val="34"/>
          <w:szCs w:val="34"/>
          <w:lang w:eastAsia="zh-CN"/>
        </w:rPr>
        <w:t>）（）</w:t>
      </w:r>
    </w:p>
    <w:p w14:paraId="647E1C8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为充分发挥各自优势，合理配置粮源，依据江苏粮油商品交易市场</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以下简称江苏市场)竞价结果，就甲方收购乙方组织的202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年江苏产</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eastAsia="zh-CN"/>
        </w:rPr>
        <w:t>小麦</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吨，同时由乙方根据甲方的出库时间要求负责全部回购，达成以下协议</w:t>
      </w:r>
      <w:r>
        <w:rPr>
          <w:rFonts w:hint="eastAsia" w:ascii="Times New Roman" w:hAnsi="Times New Roman" w:eastAsia="方正仿宋_GBK" w:cs="Times New Roman"/>
          <w:sz w:val="34"/>
          <w:szCs w:val="34"/>
          <w:lang w:eastAsia="zh-CN"/>
        </w:rPr>
        <w:t>：</w:t>
      </w:r>
    </w:p>
    <w:p w14:paraId="4CA7CF27">
      <w:pPr>
        <w:keepNext w:val="0"/>
        <w:keepLines w:val="0"/>
        <w:pageBreakBefore w:val="0"/>
        <w:widowControl w:val="0"/>
        <w:kinsoku/>
        <w:wordWrap/>
        <w:overflowPunct/>
        <w:topLinePunct w:val="0"/>
        <w:autoSpaceDE/>
        <w:autoSpaceDN/>
        <w:bidi w:val="0"/>
        <w:adjustRightInd/>
        <w:snapToGrid/>
        <w:spacing w:line="590" w:lineRule="exact"/>
        <w:ind w:left="676" w:leftChars="322" w:firstLine="0" w:firstLineChars="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一、</w:t>
      </w:r>
      <w:r>
        <w:rPr>
          <w:rFonts w:hint="default" w:ascii="Times New Roman" w:hAnsi="Times New Roman" w:eastAsia="方正仿宋_GBK" w:cs="Times New Roman"/>
          <w:sz w:val="34"/>
          <w:szCs w:val="34"/>
          <w:lang w:eastAsia="zh-CN"/>
        </w:rPr>
        <w:t>甲方收购乙方组织的202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年度生产的</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eastAsia="zh-CN"/>
        </w:rPr>
        <w:t>小</w:t>
      </w:r>
      <w:r>
        <w:rPr>
          <w:rFonts w:hint="eastAsia" w:ascii="Times New Roman" w:hAnsi="Times New Roman" w:eastAsia="方正仿宋_GBK" w:cs="Times New Roman"/>
          <w:sz w:val="34"/>
          <w:szCs w:val="34"/>
          <w:lang w:val="en-US" w:eastAsia="zh-CN"/>
        </w:rPr>
        <w:t>麦</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w:t>
      </w:r>
    </w:p>
    <w:p w14:paraId="55E4D0A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1.入库时间：202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日前完成入库</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采购合同期限过半，采购合同履约数量必须达到合同约定数半数以上，否则委托方有权要求判定中标方违约</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。具体仓号、数量以粮食入库后双方书面确认单为准。</w:t>
      </w:r>
    </w:p>
    <w:p w14:paraId="4A80C97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cs="Times New Roman"/>
          <w:sz w:val="34"/>
          <w:szCs w:val="34"/>
          <w:lang w:eastAsia="zh-CN"/>
        </w:rPr>
      </w:pPr>
      <w:r>
        <w:rPr>
          <w:rFonts w:hint="default" w:ascii="Times New Roman" w:hAnsi="Times New Roman" w:eastAsia="方正仿宋_GBK" w:cs="Times New Roman"/>
          <w:sz w:val="34"/>
          <w:szCs w:val="34"/>
          <w:lang w:eastAsia="zh-CN"/>
        </w:rPr>
        <w:t>2.交货地点：江苏东台粮食产业发展有限公司</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库</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仓</w:t>
      </w:r>
      <w:r>
        <w:rPr>
          <w:rFonts w:hint="default" w:ascii="Times New Roman" w:hAnsi="Times New Roman" w:cs="Times New Roman"/>
          <w:sz w:val="34"/>
          <w:szCs w:val="34"/>
          <w:lang w:eastAsia="zh-CN"/>
        </w:rPr>
        <w:t>。</w:t>
      </w:r>
    </w:p>
    <w:p w14:paraId="082F35A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3.入库价格</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暂定</w:t>
      </w:r>
      <w:r>
        <w:rPr>
          <w:rFonts w:hint="default" w:ascii="Times New Roman" w:hAnsi="Times New Roman" w:eastAsia="方正仿宋_GBK" w:cs="Times New Roman"/>
          <w:sz w:val="34"/>
          <w:szCs w:val="34"/>
          <w:lang w:eastAsia="zh-CN"/>
        </w:rPr>
        <w:t>采购价</w:t>
      </w:r>
      <w:r>
        <w:rPr>
          <w:rFonts w:hint="default" w:ascii="Times New Roman" w:hAnsi="Times New Roman" w:eastAsia="方正仿宋_GBK" w:cs="Times New Roman"/>
          <w:sz w:val="34"/>
          <w:szCs w:val="34"/>
          <w:u w:val="single"/>
          <w:lang w:eastAsia="zh-CN"/>
        </w:rPr>
        <w:t>2</w:t>
      </w:r>
      <w:r>
        <w:rPr>
          <w:rFonts w:hint="eastAsia" w:ascii="Times New Roman" w:hAnsi="Times New Roman" w:eastAsia="方正仿宋_GBK" w:cs="Times New Roman"/>
          <w:sz w:val="34"/>
          <w:szCs w:val="34"/>
          <w:u w:val="single"/>
          <w:lang w:val="en-US" w:eastAsia="zh-CN"/>
        </w:rPr>
        <w:t>400</w:t>
      </w:r>
      <w:r>
        <w:rPr>
          <w:rFonts w:hint="default" w:ascii="Times New Roman" w:hAnsi="Times New Roman" w:eastAsia="方正仿宋_GBK" w:cs="Times New Roman"/>
          <w:sz w:val="34"/>
          <w:szCs w:val="34"/>
          <w:lang w:eastAsia="zh-CN"/>
        </w:rPr>
        <w:t>元/吨</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以甲方挂牌收购价格为准</w:t>
      </w:r>
      <w:r>
        <w:rPr>
          <w:rFonts w:hint="eastAsia" w:ascii="Times New Roman" w:hAnsi="Times New Roman" w:eastAsia="方正仿宋_GBK" w:cs="Times New Roman"/>
          <w:sz w:val="34"/>
          <w:szCs w:val="34"/>
          <w:lang w:eastAsia="zh-CN"/>
        </w:rPr>
        <w:t>）。</w:t>
      </w:r>
    </w:p>
    <w:p w14:paraId="5B1E31D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4.入库方式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方组织供货，考虑到服务三农和农民售粮需要，优先组织本地农民和种田大户的小麦,经</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方同意，在同等质量标准和价格条件下，也可以由甲方直属库点自行组织收购,作为采购合同履约的组成部分，自行组织收购粮食的数量质量和价格，必须得到</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方的确认。</w:t>
      </w:r>
    </w:p>
    <w:p w14:paraId="4DCA3AF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5.质量标准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年江苏产新小麦，国标</w:t>
      </w:r>
      <w:r>
        <w:rPr>
          <w:rFonts w:hint="eastAsia" w:ascii="Times New Roman" w:hAnsi="Times New Roman" w:eastAsia="方正仿宋_GBK" w:cs="Times New Roman"/>
          <w:sz w:val="34"/>
          <w:szCs w:val="34"/>
          <w:lang w:val="en-US" w:eastAsia="zh-CN"/>
        </w:rPr>
        <w:t>三</w:t>
      </w:r>
      <w:r>
        <w:rPr>
          <w:rFonts w:hint="default" w:ascii="Times New Roman" w:hAnsi="Times New Roman" w:eastAsia="方正仿宋_GBK" w:cs="Times New Roman"/>
          <w:sz w:val="34"/>
          <w:szCs w:val="34"/>
          <w:lang w:eastAsia="zh-CN"/>
        </w:rPr>
        <w:t>等以上质量标准，容重</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7</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0g/1、水分</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12.5%、杂质</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1%、不完善</w:t>
      </w:r>
      <w:r>
        <w:rPr>
          <w:rFonts w:hint="eastAsia" w:ascii="Times New Roman" w:hAnsi="Times New Roman" w:eastAsia="方正仿宋_GBK" w:cs="Times New Roman"/>
          <w:sz w:val="34"/>
          <w:szCs w:val="34"/>
          <w:lang w:val="en-US" w:eastAsia="zh-CN"/>
        </w:rPr>
        <w:t>粒</w:t>
      </w:r>
      <w:r>
        <w:rPr>
          <w:rFonts w:hint="default" w:ascii="Arial" w:hAnsi="Arial" w:eastAsia="方正仿宋_GBK" w:cs="Arial"/>
          <w:sz w:val="34"/>
          <w:szCs w:val="34"/>
          <w:lang w:eastAsia="zh-CN"/>
        </w:rPr>
        <w:t>≤</w:t>
      </w:r>
      <w:r>
        <w:rPr>
          <w:rFonts w:hint="eastAsia" w:ascii="Arial" w:hAnsi="Arial" w:eastAsia="方正仿宋_GBK" w:cs="Arial"/>
          <w:sz w:val="34"/>
          <w:szCs w:val="34"/>
          <w:lang w:val="en-US" w:eastAsia="zh-CN"/>
        </w:rPr>
        <w:t>8</w:t>
      </w:r>
      <w:r>
        <w:rPr>
          <w:rFonts w:hint="default" w:ascii="Times New Roman" w:hAnsi="Times New Roman" w:eastAsia="方正仿宋_GBK" w:cs="Times New Roman"/>
          <w:sz w:val="34"/>
          <w:szCs w:val="34"/>
          <w:lang w:eastAsia="zh-CN"/>
        </w:rPr>
        <w:t>%。符合小麦食品安全国家标准，包含但不限于呕吐毒素&lt;</w:t>
      </w:r>
      <w:r>
        <w:rPr>
          <w:rFonts w:hint="eastAsia" w:ascii="Times New Roman" w:hAnsi="Times New Roman" w:eastAsia="方正仿宋_GBK" w:cs="Times New Roman"/>
          <w:sz w:val="34"/>
          <w:szCs w:val="34"/>
          <w:lang w:val="en-US" w:eastAsia="zh-CN"/>
        </w:rPr>
        <w:t>8</w:t>
      </w:r>
      <w:r>
        <w:rPr>
          <w:rFonts w:hint="default" w:ascii="Times New Roman" w:hAnsi="Times New Roman" w:eastAsia="方正仿宋_GBK" w:cs="Times New Roman"/>
          <w:sz w:val="34"/>
          <w:szCs w:val="34"/>
          <w:lang w:eastAsia="zh-CN"/>
        </w:rPr>
        <w:t>00ug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g;玉米赤霉烯酮&lt;60ug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w:t>
      </w:r>
      <w:r>
        <w:rPr>
          <w:rFonts w:hint="eastAsia" w:ascii="Times New Roman" w:hAnsi="Times New Roman" w:eastAsia="方正仿宋_GBK" w:cs="Times New Roman"/>
          <w:sz w:val="34"/>
          <w:szCs w:val="34"/>
          <w:lang w:val="en-US" w:eastAsia="zh-CN"/>
        </w:rPr>
        <w:t>水分大于等于13%拒收</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杂质超过</w:t>
      </w:r>
      <w:r>
        <w:rPr>
          <w:rFonts w:hint="eastAsia" w:ascii="Times New Roman" w:hAnsi="Times New Roman" w:eastAsia="方正仿宋_GBK" w:cs="Times New Roman"/>
          <w:sz w:val="34"/>
          <w:szCs w:val="34"/>
          <w:lang w:val="en-US" w:eastAsia="zh-CN"/>
        </w:rPr>
        <w:t>2</w:t>
      </w:r>
      <w:r>
        <w:rPr>
          <w:rFonts w:hint="default" w:ascii="Times New Roman" w:hAnsi="Times New Roman" w:eastAsia="方正仿宋_GBK" w:cs="Times New Roman"/>
          <w:sz w:val="34"/>
          <w:szCs w:val="34"/>
          <w:lang w:eastAsia="zh-CN"/>
        </w:rPr>
        <w:t>%拒收。散筋小麦退回</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小麦色泽气味正常。卫生指标符合国家食品安全标准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超过规定标准的</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方有权拒收。</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方轮入粮食来源必须符合国家相关规定，严禁掺混陈粮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违者没收全部保证金，并移交粮食和市场执法部门处理</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由此造成的</w:t>
      </w:r>
      <w:r>
        <w:rPr>
          <w:rFonts w:hint="default" w:ascii="Times New Roman" w:hAnsi="Times New Roman" w:eastAsia="方正仿宋_GBK" w:cs="Times New Roman"/>
          <w:sz w:val="34"/>
          <w:szCs w:val="34"/>
          <w:lang w:eastAsia="zh-CN"/>
        </w:rPr>
        <w:t>一切法律和政策责任全部由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方承担。</w:t>
      </w:r>
    </w:p>
    <w:p w14:paraId="750254E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6.收购款支付</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乙方组织的小麦，如是农民或种田大户的，需提供种田人的身份证、银行卡、粮食自产证明，由甲方开具收购发票，支付收购款</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如是单位或粮食经纪人，则需提供销售发票，凭发票和入库证明支付货款。</w:t>
      </w:r>
    </w:p>
    <w:p w14:paraId="76D82C0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7.入库质量、数量确认</w:t>
      </w:r>
      <w:r>
        <w:rPr>
          <w:rFonts w:hint="eastAsia" w:ascii="Times New Roman" w:hAnsi="Times New Roman" w:eastAsia="方正仿宋_GBK" w:cs="Times New Roman"/>
          <w:sz w:val="34"/>
          <w:szCs w:val="34"/>
          <w:lang w:eastAsia="zh-CN"/>
        </w:rPr>
        <w:t>：</w:t>
      </w:r>
    </w:p>
    <w:p w14:paraId="045C745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1</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质量确认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入库时双方在交货地验质，如对检验方法、标准或质量结果有异议，可委托具有检验资质的粮食质量检验机构检验，检验费用由异议提出方先行支付，异议成立的，最终由被异议方承担。</w:t>
      </w:r>
    </w:p>
    <w:p w14:paraId="74F7546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数量确认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以交货库点地磅衡称重为准，乙方应当派人监磅。</w:t>
      </w:r>
    </w:p>
    <w:p w14:paraId="3F9E3BE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3</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乙方如有数量、质量异议应在入库卸货前提出。</w:t>
      </w:r>
    </w:p>
    <w:p w14:paraId="36A5EB7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4</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粮食入库后，甲、乙双方须对入库粮食的存储仓号、数量、质量、入库成本等进行书面确认。</w:t>
      </w:r>
    </w:p>
    <w:p w14:paraId="66BDDF9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二、交易保证</w:t>
      </w:r>
      <w:r>
        <w:rPr>
          <w:rFonts w:hint="eastAsia" w:ascii="Times New Roman" w:hAnsi="Times New Roman" w:eastAsia="方正仿宋_GBK" w:cs="Times New Roman"/>
          <w:sz w:val="34"/>
          <w:szCs w:val="34"/>
          <w:lang w:eastAsia="zh-CN"/>
        </w:rPr>
        <w:t>：</w:t>
      </w:r>
    </w:p>
    <w:p w14:paraId="7D552E8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1.乙方通过竞价交易的方式获得购销合作的权利，乙方按照甲方委托公告的要求参加竞价交易。</w:t>
      </w:r>
      <w:r>
        <w:rPr>
          <w:rFonts w:hint="eastAsia" w:ascii="Times New Roman" w:hAnsi="Times New Roman" w:eastAsia="方正仿宋_GBK" w:cs="Times New Roman"/>
          <w:sz w:val="34"/>
          <w:szCs w:val="34"/>
          <w:lang w:val="en-US" w:eastAsia="zh-CN"/>
        </w:rPr>
        <w:t>乙方在江苏市场缴纳的保证金，按交易公告和线上合同中的条款执行</w:t>
      </w:r>
      <w:r>
        <w:rPr>
          <w:rFonts w:hint="default" w:ascii="Times New Roman" w:hAnsi="Times New Roman" w:eastAsia="方正仿宋_GBK" w:cs="Times New Roman"/>
          <w:sz w:val="34"/>
          <w:szCs w:val="34"/>
          <w:lang w:eastAsia="zh-CN"/>
        </w:rPr>
        <w:t>。</w:t>
      </w:r>
    </w:p>
    <w:p w14:paraId="7A4DA93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2.甲方按</w:t>
      </w:r>
      <w:r>
        <w:rPr>
          <w:rFonts w:hint="eastAsia" w:ascii="Times New Roman" w:hAnsi="Times New Roman" w:eastAsia="方正仿宋_GBK" w:cs="Times New Roman"/>
          <w:sz w:val="34"/>
          <w:szCs w:val="34"/>
          <w:lang w:val="en-US" w:eastAsia="zh-CN"/>
        </w:rPr>
        <w:t>采购</w:t>
      </w:r>
      <w:r>
        <w:rPr>
          <w:rFonts w:hint="default" w:ascii="Times New Roman" w:hAnsi="Times New Roman" w:eastAsia="方正仿宋_GBK" w:cs="Times New Roman"/>
          <w:sz w:val="34"/>
          <w:szCs w:val="34"/>
          <w:lang w:eastAsia="zh-CN"/>
        </w:rPr>
        <w:t>货款总额的10%收取乙方风险保证金。风险保证金</w:t>
      </w:r>
      <w:r>
        <w:rPr>
          <w:rFonts w:hint="eastAsia" w:ascii="Times New Roman" w:hAnsi="Times New Roman" w:eastAsia="方正仿宋_GBK" w:cs="Times New Roman"/>
          <w:sz w:val="34"/>
          <w:szCs w:val="34"/>
          <w:lang w:val="en-US" w:eastAsia="zh-CN"/>
        </w:rPr>
        <w:t>需在入库前一次性缴清，</w:t>
      </w:r>
      <w:r>
        <w:rPr>
          <w:rFonts w:hint="default" w:ascii="Times New Roman" w:hAnsi="Times New Roman" w:eastAsia="方正仿宋_GBK" w:cs="Times New Roman"/>
          <w:sz w:val="34"/>
          <w:szCs w:val="34"/>
          <w:lang w:eastAsia="zh-CN"/>
        </w:rPr>
        <w:t>风险保证金不计利息在出库</w:t>
      </w:r>
      <w:r>
        <w:rPr>
          <w:rFonts w:hint="eastAsia" w:ascii="Times New Roman" w:hAnsi="Times New Roman" w:eastAsia="方正仿宋_GBK" w:cs="Times New Roman"/>
          <w:sz w:val="34"/>
          <w:szCs w:val="34"/>
          <w:lang w:val="en-US" w:eastAsia="zh-CN"/>
        </w:rPr>
        <w:t>结束后7个工作日内退还乙方</w:t>
      </w:r>
      <w:r>
        <w:rPr>
          <w:rFonts w:hint="default" w:ascii="Times New Roman" w:hAnsi="Times New Roman" w:eastAsia="方正仿宋_GBK" w:cs="Times New Roman"/>
          <w:sz w:val="34"/>
          <w:szCs w:val="34"/>
          <w:lang w:eastAsia="zh-CN"/>
        </w:rPr>
        <w:t>。</w:t>
      </w:r>
    </w:p>
    <w:p w14:paraId="0443B01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三、乙方回购</w:t>
      </w:r>
    </w:p>
    <w:p w14:paraId="0A83F85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1.乙方回购粮食时间以甲方通知出库时间为准。</w:t>
      </w:r>
    </w:p>
    <w:p w14:paraId="28B63D9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2.乙方回购的粮食为本次采购的在未来时点轮出的粮食，具体回购时间</w:t>
      </w:r>
      <w:r>
        <w:rPr>
          <w:rFonts w:hint="eastAsia" w:ascii="Times New Roman" w:hAnsi="Times New Roman" w:eastAsia="方正仿宋_GBK" w:cs="Times New Roman"/>
          <w:sz w:val="34"/>
          <w:szCs w:val="34"/>
          <w:lang w:val="en-US" w:eastAsia="zh-CN"/>
        </w:rPr>
        <w:t>由乙方提前一个月提出申请，甲方根据储备轮换管理办法，确定具体出库时间并报上级储备粮管理机构批准后实施。</w:t>
      </w:r>
    </w:p>
    <w:p w14:paraId="34FB4E3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3.</w:t>
      </w:r>
      <w:r>
        <w:rPr>
          <w:rFonts w:hint="default" w:ascii="Times New Roman" w:hAnsi="Times New Roman" w:eastAsia="方正仿宋_GBK" w:cs="Times New Roman"/>
          <w:sz w:val="34"/>
          <w:szCs w:val="34"/>
          <w:lang w:eastAsia="zh-CN"/>
        </w:rPr>
        <w:t>如合同中的储备粮被政府调用，本次购销合作双向交易的销售合同终止，乙方不得强求委托方履行合同，乙方的权益按照五-1条款中内容补偿。</w:t>
      </w:r>
    </w:p>
    <w:p w14:paraId="385193E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4</w:t>
      </w:r>
      <w:r>
        <w:rPr>
          <w:rFonts w:hint="default" w:ascii="Times New Roman" w:hAnsi="Times New Roman" w:eastAsia="方正仿宋_GBK" w:cs="Times New Roman"/>
          <w:sz w:val="34"/>
          <w:szCs w:val="34"/>
          <w:lang w:eastAsia="zh-CN"/>
        </w:rPr>
        <w:t>.由本次竞价交易结果确定</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销售成交价</w:t>
      </w:r>
      <w:r>
        <w:rPr>
          <w:rFonts w:hint="eastAsia" w:ascii="Times New Roman" w:hAnsi="Times New Roman" w:eastAsia="方正仿宋_GBK" w:cs="Times New Roman"/>
          <w:sz w:val="34"/>
          <w:szCs w:val="34"/>
          <w:lang w:val="en-US" w:eastAsia="zh-CN"/>
        </w:rPr>
        <w:t>=入库价+本次竞价价差</w:t>
      </w:r>
      <w:r>
        <w:rPr>
          <w:rFonts w:hint="default" w:ascii="Times New Roman" w:hAnsi="Times New Roman" w:eastAsia="方正仿宋_GBK" w:cs="Times New Roman"/>
          <w:sz w:val="34"/>
          <w:szCs w:val="34"/>
          <w:lang w:eastAsia="zh-CN"/>
        </w:rPr>
        <w:t>。</w:t>
      </w:r>
    </w:p>
    <w:p w14:paraId="4A4938F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.回购粮食数量以入库数量为准，以单个仓房为单位，双方按照保管账面数结算，损耗部分由乙方承担。</w:t>
      </w:r>
    </w:p>
    <w:p w14:paraId="2D4F8EE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四、进出库费用</w:t>
      </w:r>
    </w:p>
    <w:p w14:paraId="1E26FD5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1.进库时仓库散装车板前费用由乙方承担</w:t>
      </w:r>
    </w:p>
    <w:p w14:paraId="4A98346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2.出库时仓库散装车板后费用由乙方承担。</w:t>
      </w:r>
    </w:p>
    <w:p w14:paraId="3AEE035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五、其他事项</w:t>
      </w:r>
    </w:p>
    <w:p w14:paraId="2603D6B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1.如遇政策调控，甲乙双方应无条件服从政府调控需要，互不承担违约责任。甲方按上级制定的调拨价格扣除相关税费后全额与乙方进行结算。</w:t>
      </w:r>
    </w:p>
    <w:p w14:paraId="7EC341D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2.粮食入库后由甲方保管，并确保保管期间的入库粮食数量真实、质量安全，储存期间需符合地方储备粮管理规定。</w:t>
      </w:r>
    </w:p>
    <w:p w14:paraId="02250F2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3.提货时甲方每开一个仓，乙方必须在</w:t>
      </w:r>
      <w:r>
        <w:rPr>
          <w:rFonts w:hint="default" w:ascii="Times New Roman" w:hAnsi="Times New Roman" w:eastAsia="方正仿宋_GBK" w:cs="Times New Roman"/>
          <w:sz w:val="34"/>
          <w:szCs w:val="34"/>
          <w:highlight w:val="none"/>
          <w:lang w:eastAsia="zh-CN"/>
        </w:rPr>
        <w:t>25</w:t>
      </w:r>
      <w:r>
        <w:rPr>
          <w:rFonts w:hint="eastAsia" w:ascii="Times New Roman" w:hAnsi="Times New Roman" w:eastAsia="方正仿宋_GBK" w:cs="Times New Roman"/>
          <w:sz w:val="34"/>
          <w:szCs w:val="34"/>
          <w:highlight w:val="none"/>
          <w:lang w:val="en-US" w:eastAsia="zh-CN"/>
        </w:rPr>
        <w:t>工作日</w:t>
      </w:r>
      <w:r>
        <w:rPr>
          <w:rFonts w:hint="default" w:ascii="Times New Roman" w:hAnsi="Times New Roman" w:eastAsia="方正仿宋_GBK" w:cs="Times New Roman"/>
          <w:sz w:val="34"/>
          <w:szCs w:val="34"/>
          <w:lang w:eastAsia="zh-CN"/>
        </w:rPr>
        <w:t>内提完</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避免动仓后粮食质量下降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因乙方提货动仓后造成粮食品质下降，由乙方负责。</w:t>
      </w:r>
    </w:p>
    <w:p w14:paraId="12D03C9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4.涉及储备粮业务的各项补贴与乙方无关。</w:t>
      </w:r>
    </w:p>
    <w:p w14:paraId="070EC62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5.甲乙双方购、销双向交易履约均在国家粮食交易平台中完成，合作权利确定后，分采购、销售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回购</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两个环节进行。</w:t>
      </w:r>
    </w:p>
    <w:p w14:paraId="6EEE051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1</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采购合同项下，买卖双方自主交割，</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方在规定的合同入库期限</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日前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内按到货进度付款，采购合同交割期截止日以清单为准，采购合同完成率必须达到100%，</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方需提供相应增值税发票或提供相应的有效收购证明后</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方方可确认交易完成。双方交收完毕后江苏市场凭双方签订的采购确认单有效文件清退保证金。</w:t>
      </w:r>
    </w:p>
    <w:p w14:paraId="5589F46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销售合同项下，在合同交割期内，</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方需将货款汇至江苏市场账户</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与保证金账户一致</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并在系统申请开具出库通知单，凭市场出库单及身份证明到甲方库点提货。销售粮食交收完毕，买卖双方在系统签订“验收确认单”后，江苏市场退还乙方扣除手续费部分保证金。</w:t>
      </w:r>
    </w:p>
    <w:p w14:paraId="06A5FD6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六、违约责任</w:t>
      </w:r>
    </w:p>
    <w:p w14:paraId="5A7F507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1.乙方不能按合同时间、数量和质量送达，影响甲方储备入库计划</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非主观因素除外</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，按违约处理，乙方保证金归甲方所有，合同终止。</w:t>
      </w:r>
    </w:p>
    <w:p w14:paraId="7CAE6B7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2.如乙方逾期未提清约定数量，</w:t>
      </w:r>
      <w:r>
        <w:rPr>
          <w:rFonts w:hint="eastAsia" w:ascii="Times New Roman" w:hAnsi="Times New Roman" w:eastAsia="方正仿宋_GBK" w:cs="Times New Roman"/>
          <w:sz w:val="34"/>
          <w:szCs w:val="34"/>
          <w:lang w:val="en-US" w:eastAsia="zh-CN"/>
        </w:rPr>
        <w:t>且在甲方多次催促下仍无提货意愿的，</w:t>
      </w:r>
      <w:r>
        <w:rPr>
          <w:rFonts w:hint="default" w:ascii="Times New Roman" w:hAnsi="Times New Roman" w:eastAsia="方正仿宋_GBK" w:cs="Times New Roman"/>
          <w:sz w:val="34"/>
          <w:szCs w:val="34"/>
          <w:lang w:eastAsia="zh-CN"/>
        </w:rPr>
        <w:t>未提数量甲方</w:t>
      </w:r>
      <w:r>
        <w:rPr>
          <w:rFonts w:hint="eastAsia" w:ascii="Times New Roman" w:hAnsi="Times New Roman" w:eastAsia="方正仿宋_GBK" w:cs="Times New Roman"/>
          <w:sz w:val="34"/>
          <w:szCs w:val="34"/>
          <w:lang w:val="en-US" w:eastAsia="zh-CN"/>
        </w:rPr>
        <w:t>可</w:t>
      </w:r>
      <w:r>
        <w:rPr>
          <w:rFonts w:hint="default" w:ascii="Times New Roman" w:hAnsi="Times New Roman" w:eastAsia="方正仿宋_GBK" w:cs="Times New Roman"/>
          <w:sz w:val="34"/>
          <w:szCs w:val="34"/>
          <w:lang w:eastAsia="zh-CN"/>
        </w:rPr>
        <w:t>另行销售，货款用于偿还甲方前期购粮款及因乙方违约造成的损失，不足部分甲方保留向乙方追讨补足价差的权利。</w:t>
      </w:r>
    </w:p>
    <w:p w14:paraId="760037A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七、合同履约结束后，双方无任何经济纠纷，甲方应及时退还乙方尚未冲抵的价格风险保证金。</w:t>
      </w:r>
    </w:p>
    <w:p w14:paraId="34250D2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八、解决纠纷的方式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协商解决或按《民法典》通过法律程序解决，出现合同纠纷和未尽事宜双方协商，可签订补充协议，补充协议与本协议是具有同等法律效应，不能协商一致，可向原告所在地人民法院起诉。</w:t>
      </w:r>
    </w:p>
    <w:p w14:paraId="6555C56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九、本合同一式</w:t>
      </w:r>
      <w:r>
        <w:rPr>
          <w:rFonts w:hint="eastAsia" w:ascii="Times New Roman" w:hAnsi="Times New Roman" w:eastAsia="方正仿宋_GBK" w:cs="Times New Roman"/>
          <w:sz w:val="34"/>
          <w:szCs w:val="34"/>
          <w:lang w:val="en-US" w:eastAsia="zh-CN"/>
        </w:rPr>
        <w:t>叁</w:t>
      </w:r>
      <w:r>
        <w:rPr>
          <w:rFonts w:hint="default" w:ascii="Times New Roman" w:hAnsi="Times New Roman" w:eastAsia="方正仿宋_GBK" w:cs="Times New Roman"/>
          <w:sz w:val="34"/>
          <w:szCs w:val="34"/>
          <w:lang w:eastAsia="zh-CN"/>
        </w:rPr>
        <w:t>份，甲、乙双方签字盖章后成立，乙方按第二条第一款约定将风险保证金付至甲方账户后生效，本合同有效期至出库结束止，本合同报东台市农发行壹份。</w:t>
      </w:r>
    </w:p>
    <w:p w14:paraId="5A3A63E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此页无正文，为签章页</w:t>
      </w:r>
      <w:r>
        <w:rPr>
          <w:rFonts w:hint="eastAsia" w:ascii="Times New Roman" w:hAnsi="Times New Roman" w:eastAsia="方正仿宋_GBK" w:cs="Times New Roman"/>
          <w:sz w:val="34"/>
          <w:szCs w:val="34"/>
          <w:lang w:eastAsia="zh-CN"/>
        </w:rPr>
        <w:t>）</w:t>
      </w:r>
    </w:p>
    <w:p w14:paraId="0E629DD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p>
    <w:p w14:paraId="484CD55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p>
    <w:p w14:paraId="709E41B7">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甲方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盖章</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盖章</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12E53039">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3B351D71">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签字</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签字</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1004A0E7">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 xml:space="preserve">           </w:t>
      </w:r>
    </w:p>
    <w:p w14:paraId="064B95F5">
      <w:pPr>
        <w:keepNext w:val="0"/>
        <w:keepLines w:val="0"/>
        <w:pageBreakBefore w:val="0"/>
        <w:widowControl w:val="0"/>
        <w:kinsoku/>
        <w:wordWrap/>
        <w:overflowPunct/>
        <w:topLinePunct w:val="0"/>
        <w:autoSpaceDE/>
        <w:autoSpaceDN/>
        <w:bidi w:val="0"/>
        <w:adjustRightInd/>
        <w:snapToGrid/>
        <w:spacing w:line="590" w:lineRule="exact"/>
        <w:ind w:firstLine="5440" w:firstLineChars="1600"/>
        <w:textAlignment w:val="auto"/>
      </w:pPr>
      <w:r>
        <w:rPr>
          <w:rFonts w:hint="eastAsia" w:ascii="Times New Roman" w:hAnsi="Times New Roman" w:eastAsia="方正仿宋_GBK" w:cs="Times New Roman"/>
          <w:sz w:val="34"/>
          <w:szCs w:val="34"/>
          <w:lang w:val="en-US" w:eastAsia="zh-CN"/>
        </w:rPr>
        <w:t>2024年  月 日</w:t>
      </w:r>
    </w:p>
    <w:p w14:paraId="4BC87C46"/>
    <w:sectPr>
      <w:footerReference r:id="rId3" w:type="default"/>
      <w:pgSz w:w="11906" w:h="16838"/>
      <w:pgMar w:top="2098" w:right="1531" w:bottom="1701" w:left="1531" w:header="851" w:footer="992" w:gutter="0"/>
      <w:pgNumType w:fmt="decimal"/>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82BD30C-9FDE-4397-93FF-373A63FA897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E18EF37-F2B1-4782-A150-0D5EF2C19441}"/>
  </w:font>
  <w:font w:name="方正小标宋_GBK">
    <w:panose1 w:val="02000000000000000000"/>
    <w:charset w:val="86"/>
    <w:family w:val="auto"/>
    <w:pitch w:val="default"/>
    <w:sig w:usb0="00000001" w:usb1="080E0000" w:usb2="00000000" w:usb3="00000000" w:csb0="00040000" w:csb1="00000000"/>
    <w:embedRegular r:id="rId3" w:fontKey="{36097447-AB0D-4D99-BD4A-32B3514935C6}"/>
  </w:font>
  <w:font w:name="方正仿宋_GBK">
    <w:panose1 w:val="03000509000000000000"/>
    <w:charset w:val="86"/>
    <w:family w:val="auto"/>
    <w:pitch w:val="default"/>
    <w:sig w:usb0="00000001" w:usb1="080E0000" w:usb2="00000000" w:usb3="00000000" w:csb0="00040000" w:csb1="00000000"/>
    <w:embedRegular r:id="rId4" w:fontKey="{A47F17AE-4E29-466F-A808-F8E3D01EB4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7CBA9">
    <w:pPr>
      <w:pStyle w:val="2"/>
      <w:bidi w:val="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D97A22">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75pt;height:144pt;width:144pt;mso-position-horizontal:right;mso-position-horizontal-relative:margin;mso-wrap-style:none;z-index:251659264;mso-width-relative:page;mso-height-relative:page;" filled="f" stroked="f" coordsize="21600,21600" o:gfxdata="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BfYpizTAAAABg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48D97A22">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yZWM2YTNjNTFhM2NkMDQxMGIyOTNmNDIzZjUxMjMifQ=="/>
  </w:docVars>
  <w:rsids>
    <w:rsidRoot w:val="00000000"/>
    <w:rsid w:val="138F260D"/>
    <w:rsid w:val="28C9515E"/>
    <w:rsid w:val="474E59D7"/>
    <w:rsid w:val="48136F08"/>
    <w:rsid w:val="56C703FE"/>
    <w:rsid w:val="60265B54"/>
    <w:rsid w:val="7FA72A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2304</Words>
  <Characters>2392</Characters>
  <Lines>0</Lines>
  <Paragraphs>0</Paragraphs>
  <TotalTime>38</TotalTime>
  <ScaleCrop>false</ScaleCrop>
  <LinksUpToDate>false</LinksUpToDate>
  <CharactersWithSpaces>2526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2024-05-28T09:46:00Z</dcterms:created>
  <dc:creator>pc</dc:creator>
  <cp:lastModifiedBy>gengin哩啦</cp:lastModifiedBy>
  <cp:lastPrinted>2025-05-15T07:43:00Z</cp:lastPrinted>
  <dcterms:modified xsi:type="dcterms:W3CDTF">2025-05-15T09:51:17Z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1CD865459D034D47B0D88AA48FAB199C_12</vt:lpwstr>
  </property>
  <property fmtid="{D5CDD505-2E9C-101B-9397-08002B2CF9AE}" pid="4" name="KSOTemplateDocerSaveRecord">
    <vt:lpwstr>eyJoZGlkIjoiZWQyZDAxZjFlMTI0ZDEyZmExNTk3N2I2MjgyYmIzMzgiLCJ1c2VySWQiOiI0MjU3ODcwNzUifQ==</vt:lpwstr>
  </property>
</Properties>
</file>